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D245" w14:textId="1C8AD6AC" w:rsidR="00184E70" w:rsidRPr="00EC6BF9" w:rsidRDefault="003D4301" w:rsidP="00EC6BF9">
      <w:pPr>
        <w:jc w:val="both"/>
        <w:rPr>
          <w:rFonts w:ascii="Calibri" w:hAnsi="Calibri" w:cs="Calibri"/>
          <w:b/>
          <w:bCs/>
          <w:sz w:val="28"/>
          <w:szCs w:val="28"/>
          <w:lang w:val="en-GB"/>
        </w:rPr>
      </w:pPr>
      <w:r w:rsidRPr="00EC6BF9">
        <w:rPr>
          <w:rFonts w:ascii="Calibri" w:hAnsi="Calibri" w:cs="Calibri"/>
          <w:b/>
          <w:bCs/>
          <w:sz w:val="28"/>
          <w:szCs w:val="28"/>
          <w:lang w:val="en-GB"/>
        </w:rPr>
        <w:t>Harbour Energy</w:t>
      </w:r>
      <w:r w:rsidR="00A5676B" w:rsidRPr="00EC6BF9">
        <w:rPr>
          <w:rFonts w:ascii="Calibri" w:hAnsi="Calibri" w:cs="Calibri"/>
          <w:b/>
          <w:bCs/>
          <w:sz w:val="28"/>
          <w:szCs w:val="28"/>
          <w:lang w:val="en-GB"/>
        </w:rPr>
        <w:t xml:space="preserve"> confirms</w:t>
      </w:r>
      <w:r w:rsidR="00F53EA4" w:rsidRPr="00EC6BF9">
        <w:rPr>
          <w:rFonts w:ascii="Calibri" w:hAnsi="Calibri" w:cs="Calibri"/>
          <w:b/>
          <w:bCs/>
          <w:sz w:val="28"/>
          <w:szCs w:val="28"/>
          <w:lang w:val="en-GB"/>
        </w:rPr>
        <w:t xml:space="preserve"> the successful appraisal of EZZ-2 discovery</w:t>
      </w:r>
      <w:r w:rsidR="00A5676B" w:rsidRPr="00EC6BF9">
        <w:rPr>
          <w:rFonts w:ascii="Calibri" w:hAnsi="Calibri" w:cs="Calibri"/>
          <w:b/>
          <w:bCs/>
          <w:sz w:val="28"/>
          <w:szCs w:val="28"/>
          <w:lang w:val="en-GB"/>
        </w:rPr>
        <w:t xml:space="preserve"> </w:t>
      </w:r>
      <w:r w:rsidRPr="00EC6BF9">
        <w:rPr>
          <w:rFonts w:ascii="Calibri" w:hAnsi="Calibri" w:cs="Calibri"/>
          <w:b/>
          <w:bCs/>
          <w:sz w:val="28"/>
          <w:szCs w:val="28"/>
          <w:lang w:val="en-GB"/>
        </w:rPr>
        <w:t xml:space="preserve">in Egypt </w:t>
      </w:r>
    </w:p>
    <w:p w14:paraId="76A13391" w14:textId="26E998EC" w:rsidR="00F53EA4" w:rsidRPr="00EC6BF9" w:rsidRDefault="004C5DF5" w:rsidP="00EC6BF9">
      <w:pPr>
        <w:jc w:val="both"/>
        <w:rPr>
          <w:rFonts w:ascii="Calibri" w:hAnsi="Calibri" w:cs="Calibri"/>
          <w:lang w:val="en-GB"/>
        </w:rPr>
      </w:pPr>
      <w:r w:rsidRPr="00EC6BF9">
        <w:rPr>
          <w:rFonts w:ascii="Calibri" w:hAnsi="Calibri" w:cs="Calibri"/>
          <w:lang w:val="en-GB"/>
        </w:rPr>
        <w:t>Cairo,</w:t>
      </w:r>
      <w:r w:rsidR="00184E70" w:rsidRPr="00EC6BF9">
        <w:rPr>
          <w:rFonts w:ascii="Calibri" w:hAnsi="Calibri" w:cs="Calibri"/>
          <w:lang w:val="en-GB"/>
        </w:rPr>
        <w:t xml:space="preserve"> </w:t>
      </w:r>
      <w:r w:rsidRPr="00EC6BF9">
        <w:rPr>
          <w:rFonts w:ascii="Calibri" w:hAnsi="Calibri" w:cs="Calibri"/>
          <w:lang w:val="en-GB"/>
        </w:rPr>
        <w:t>Egypt –</w:t>
      </w:r>
      <w:r w:rsidR="00AE53F1" w:rsidRPr="00EC6BF9">
        <w:rPr>
          <w:rFonts w:ascii="Calibri" w:hAnsi="Calibri" w:cs="Calibri"/>
          <w:lang w:val="en-GB"/>
        </w:rPr>
        <w:t xml:space="preserve"> </w:t>
      </w:r>
      <w:r w:rsidR="00912AE3" w:rsidRPr="00EC6BF9">
        <w:rPr>
          <w:rFonts w:ascii="Calibri" w:hAnsi="Calibri" w:cs="Calibri"/>
          <w:lang w:val="en-GB"/>
        </w:rPr>
        <w:t xml:space="preserve">Harbour </w:t>
      </w:r>
      <w:r w:rsidR="00F53EA4" w:rsidRPr="00EC6BF9">
        <w:rPr>
          <w:rFonts w:ascii="Calibri" w:hAnsi="Calibri" w:cs="Calibri"/>
          <w:lang w:val="en-GB"/>
        </w:rPr>
        <w:t>Energy through its joint venture company, DISOUCO,</w:t>
      </w:r>
      <w:r w:rsidR="00912AE3" w:rsidRPr="00EC6BF9">
        <w:rPr>
          <w:rFonts w:ascii="Calibri" w:hAnsi="Calibri" w:cs="Calibri"/>
          <w:lang w:val="en-GB"/>
        </w:rPr>
        <w:t xml:space="preserve"> has advanced its </w:t>
      </w:r>
      <w:r w:rsidR="00F92278" w:rsidRPr="00EC6BF9">
        <w:rPr>
          <w:rFonts w:ascii="Calibri" w:hAnsi="Calibri" w:cs="Calibri"/>
          <w:lang w:val="en-GB"/>
        </w:rPr>
        <w:t>near</w:t>
      </w:r>
      <w:r w:rsidR="00402E35" w:rsidRPr="00EC6BF9">
        <w:rPr>
          <w:rFonts w:ascii="Calibri" w:hAnsi="Calibri" w:cs="Calibri"/>
          <w:lang w:val="en-GB"/>
        </w:rPr>
        <w:t>-</w:t>
      </w:r>
      <w:r w:rsidR="00F92278" w:rsidRPr="00EC6BF9">
        <w:rPr>
          <w:rFonts w:ascii="Calibri" w:hAnsi="Calibri" w:cs="Calibri"/>
          <w:lang w:val="en-GB"/>
        </w:rPr>
        <w:t xml:space="preserve">field </w:t>
      </w:r>
      <w:r w:rsidR="00D677CE" w:rsidRPr="00EC6BF9">
        <w:rPr>
          <w:rFonts w:ascii="Calibri" w:hAnsi="Calibri" w:cs="Calibri"/>
          <w:lang w:val="en-GB"/>
        </w:rPr>
        <w:t xml:space="preserve">ILX </w:t>
      </w:r>
      <w:r w:rsidR="00912AE3" w:rsidRPr="00EC6BF9">
        <w:rPr>
          <w:rFonts w:ascii="Calibri" w:hAnsi="Calibri" w:cs="Calibri"/>
          <w:lang w:val="en-GB"/>
        </w:rPr>
        <w:t xml:space="preserve">exploration and appraisal activities within the </w:t>
      </w:r>
      <w:proofErr w:type="spellStart"/>
      <w:r w:rsidR="00912AE3" w:rsidRPr="00EC6BF9">
        <w:rPr>
          <w:rFonts w:ascii="Calibri" w:hAnsi="Calibri" w:cs="Calibri"/>
          <w:lang w:val="en-GB"/>
        </w:rPr>
        <w:t>Disouq</w:t>
      </w:r>
      <w:proofErr w:type="spellEnd"/>
      <w:r w:rsidR="00912AE3" w:rsidRPr="00EC6BF9">
        <w:rPr>
          <w:rFonts w:ascii="Calibri" w:hAnsi="Calibri" w:cs="Calibri"/>
          <w:lang w:val="en-GB"/>
        </w:rPr>
        <w:t xml:space="preserve"> </w:t>
      </w:r>
      <w:r w:rsidR="00F92278" w:rsidRPr="00EC6BF9">
        <w:rPr>
          <w:rFonts w:ascii="Calibri" w:hAnsi="Calibri" w:cs="Calibri"/>
          <w:lang w:val="en-GB"/>
        </w:rPr>
        <w:t>C</w:t>
      </w:r>
      <w:r w:rsidR="00912AE3" w:rsidRPr="00EC6BF9">
        <w:rPr>
          <w:rFonts w:ascii="Calibri" w:hAnsi="Calibri" w:cs="Calibri"/>
          <w:lang w:val="en-GB"/>
        </w:rPr>
        <w:t>oncession</w:t>
      </w:r>
      <w:r w:rsidR="00F53EA4" w:rsidRPr="00EC6BF9">
        <w:rPr>
          <w:rFonts w:ascii="Calibri" w:hAnsi="Calibri" w:cs="Calibri"/>
          <w:lang w:val="en-GB"/>
        </w:rPr>
        <w:t xml:space="preserve"> with the successful appraisal of the EZZ-2 well. </w:t>
      </w:r>
      <w:r w:rsidR="00382AD6" w:rsidRPr="00EC6BF9">
        <w:rPr>
          <w:rFonts w:ascii="Calibri" w:hAnsi="Calibri" w:cs="Calibri"/>
          <w:lang w:val="en-GB"/>
        </w:rPr>
        <w:t xml:space="preserve"> </w:t>
      </w:r>
      <w:r w:rsidR="00F53EA4" w:rsidRPr="00EC6BF9">
        <w:rPr>
          <w:rFonts w:ascii="Calibri" w:hAnsi="Calibri" w:cs="Calibri"/>
          <w:lang w:val="en-GB"/>
        </w:rPr>
        <w:t>This follows the EZZ-1 discovery m</w:t>
      </w:r>
      <w:r w:rsidR="00ED747F" w:rsidRPr="00EC6BF9">
        <w:rPr>
          <w:rFonts w:ascii="Calibri" w:hAnsi="Calibri" w:cs="Calibri"/>
          <w:lang w:val="en-GB"/>
        </w:rPr>
        <w:t xml:space="preserve">ade in </w:t>
      </w:r>
      <w:r w:rsidR="00DC2068" w:rsidRPr="00EC6BF9">
        <w:rPr>
          <w:rFonts w:ascii="Calibri" w:hAnsi="Calibri" w:cs="Calibri"/>
          <w:lang w:val="en-GB"/>
        </w:rPr>
        <w:t>October 2025,</w:t>
      </w:r>
      <w:r w:rsidR="00ED747F" w:rsidRPr="00EC6BF9">
        <w:rPr>
          <w:rFonts w:ascii="Calibri" w:hAnsi="Calibri" w:cs="Calibri"/>
          <w:lang w:val="en-GB"/>
        </w:rPr>
        <w:t xml:space="preserve"> which was brought on-stream in January 2026, just three months after discovery. </w:t>
      </w:r>
    </w:p>
    <w:p w14:paraId="582DCE0B" w14:textId="76518488" w:rsidR="00C228CA" w:rsidRPr="00EC6BF9" w:rsidRDefault="00912AE3" w:rsidP="00EC6BF9">
      <w:pPr>
        <w:jc w:val="both"/>
        <w:rPr>
          <w:rFonts w:ascii="Calibri" w:hAnsi="Calibri" w:cs="Calibri"/>
          <w:lang w:val="en-GB"/>
        </w:rPr>
      </w:pPr>
      <w:r w:rsidRPr="00EC6BF9">
        <w:rPr>
          <w:rFonts w:ascii="Calibri" w:hAnsi="Calibri" w:cs="Calibri"/>
          <w:lang w:val="en-GB"/>
        </w:rPr>
        <w:t>EZZ-1 was drilled to a total depth of 2,964 metres, while EZZ-2 reached a depth of 3,</w:t>
      </w:r>
      <w:r w:rsidR="00276514" w:rsidRPr="00EC6BF9">
        <w:rPr>
          <w:rFonts w:ascii="Calibri" w:hAnsi="Calibri" w:cs="Calibri"/>
          <w:lang w:val="en-GB"/>
        </w:rPr>
        <w:t>200</w:t>
      </w:r>
      <w:r w:rsidRPr="00EC6BF9">
        <w:rPr>
          <w:rFonts w:ascii="Calibri" w:hAnsi="Calibri" w:cs="Calibri"/>
          <w:lang w:val="en-GB"/>
        </w:rPr>
        <w:t xml:space="preserve"> metres. Both wells encountered high-quality, </w:t>
      </w:r>
      <w:r w:rsidR="00402E35" w:rsidRPr="00EC6BF9">
        <w:rPr>
          <w:rFonts w:ascii="Calibri" w:hAnsi="Calibri" w:cs="Calibri"/>
          <w:lang w:val="en-GB"/>
        </w:rPr>
        <w:t xml:space="preserve">liquid rich </w:t>
      </w:r>
      <w:r w:rsidRPr="00EC6BF9">
        <w:rPr>
          <w:rFonts w:ascii="Calibri" w:hAnsi="Calibri" w:cs="Calibri"/>
          <w:lang w:val="en-GB"/>
        </w:rPr>
        <w:t xml:space="preserve">gas-bearing reservoirs within the </w:t>
      </w:r>
      <w:r w:rsidR="00F92278" w:rsidRPr="00EC6BF9">
        <w:rPr>
          <w:rFonts w:ascii="Calibri" w:hAnsi="Calibri" w:cs="Calibri"/>
          <w:lang w:val="en-GB"/>
        </w:rPr>
        <w:t xml:space="preserve">Messinian </w:t>
      </w:r>
      <w:r w:rsidRPr="00EC6BF9">
        <w:rPr>
          <w:rFonts w:ascii="Calibri" w:hAnsi="Calibri" w:cs="Calibri"/>
          <w:lang w:val="en-GB"/>
        </w:rPr>
        <w:t xml:space="preserve">Abu Madi Formation, with net thicknesses </w:t>
      </w:r>
      <w:r w:rsidR="00F92278" w:rsidRPr="00EC6BF9">
        <w:rPr>
          <w:rFonts w:ascii="Calibri" w:hAnsi="Calibri" w:cs="Calibri"/>
          <w:lang w:val="en-GB"/>
        </w:rPr>
        <w:t>between 25 -35 met</w:t>
      </w:r>
      <w:r w:rsidR="00ED747F" w:rsidRPr="00EC6BF9">
        <w:rPr>
          <w:rFonts w:ascii="Calibri" w:hAnsi="Calibri" w:cs="Calibri"/>
          <w:lang w:val="en-GB"/>
        </w:rPr>
        <w:t>res</w:t>
      </w:r>
      <w:r w:rsidRPr="00EC6BF9">
        <w:rPr>
          <w:rFonts w:ascii="Calibri" w:hAnsi="Calibri" w:cs="Calibri"/>
          <w:lang w:val="en-GB"/>
        </w:rPr>
        <w:t>, confirming the commercial potential of the discovery</w:t>
      </w:r>
      <w:r w:rsidR="00ED747F" w:rsidRPr="00EC6BF9">
        <w:rPr>
          <w:rFonts w:ascii="Calibri" w:hAnsi="Calibri" w:cs="Calibri"/>
          <w:lang w:val="en-GB"/>
        </w:rPr>
        <w:t>.</w:t>
      </w:r>
      <w:r w:rsidRPr="00EC6BF9">
        <w:rPr>
          <w:rFonts w:ascii="Calibri" w:hAnsi="Calibri" w:cs="Calibri"/>
          <w:lang w:val="en-GB"/>
        </w:rPr>
        <w:t xml:space="preserve"> </w:t>
      </w:r>
      <w:r w:rsidR="00FC1776" w:rsidRPr="00EC6BF9">
        <w:rPr>
          <w:rFonts w:ascii="Calibri" w:hAnsi="Calibri" w:cs="Calibri"/>
          <w:lang w:val="en-GB"/>
        </w:rPr>
        <w:t>T</w:t>
      </w:r>
      <w:r w:rsidR="00C228CA" w:rsidRPr="00EC6BF9">
        <w:rPr>
          <w:rFonts w:ascii="Calibri" w:hAnsi="Calibri" w:cs="Calibri"/>
          <w:lang w:val="en-GB"/>
        </w:rPr>
        <w:t xml:space="preserve">he EZZ-1 well </w:t>
      </w:r>
      <w:r w:rsidR="00FC1776" w:rsidRPr="00EC6BF9">
        <w:rPr>
          <w:rFonts w:ascii="Calibri" w:hAnsi="Calibri" w:cs="Calibri"/>
          <w:lang w:val="en-GB"/>
        </w:rPr>
        <w:t xml:space="preserve">was </w:t>
      </w:r>
      <w:r w:rsidR="00C228CA" w:rsidRPr="00EC6BF9">
        <w:rPr>
          <w:rFonts w:ascii="Calibri" w:hAnsi="Calibri" w:cs="Calibri"/>
          <w:lang w:val="en-GB"/>
        </w:rPr>
        <w:t xml:space="preserve">tested at a rate of 15 </w:t>
      </w:r>
      <w:r w:rsidR="00ED747F" w:rsidRPr="00EC6BF9">
        <w:rPr>
          <w:rFonts w:ascii="Calibri" w:hAnsi="Calibri" w:cs="Calibri"/>
          <w:lang w:val="en-GB"/>
        </w:rPr>
        <w:t xml:space="preserve">million standard cubic feet </w:t>
      </w:r>
      <w:r w:rsidR="00C228CA" w:rsidRPr="00EC6BF9">
        <w:rPr>
          <w:rFonts w:ascii="Calibri" w:hAnsi="Calibri" w:cs="Calibri"/>
          <w:lang w:val="en-GB"/>
        </w:rPr>
        <w:t xml:space="preserve">of gas </w:t>
      </w:r>
      <w:r w:rsidR="00ED747F" w:rsidRPr="00EC6BF9">
        <w:rPr>
          <w:rFonts w:ascii="Calibri" w:hAnsi="Calibri" w:cs="Calibri"/>
          <w:lang w:val="en-GB"/>
        </w:rPr>
        <w:t xml:space="preserve">per day </w:t>
      </w:r>
      <w:r w:rsidR="00C228CA" w:rsidRPr="00EC6BF9">
        <w:rPr>
          <w:rFonts w:ascii="Calibri" w:hAnsi="Calibri" w:cs="Calibri"/>
          <w:lang w:val="en-GB"/>
        </w:rPr>
        <w:t xml:space="preserve">with approximately 900 </w:t>
      </w:r>
      <w:r w:rsidR="00ED747F" w:rsidRPr="00EC6BF9">
        <w:rPr>
          <w:rFonts w:ascii="Calibri" w:hAnsi="Calibri" w:cs="Calibri"/>
          <w:lang w:val="en-GB"/>
        </w:rPr>
        <w:t xml:space="preserve">barrels </w:t>
      </w:r>
      <w:r w:rsidR="00C228CA" w:rsidRPr="00EC6BF9">
        <w:rPr>
          <w:rFonts w:ascii="Calibri" w:hAnsi="Calibri" w:cs="Calibri"/>
          <w:lang w:val="en-GB"/>
        </w:rPr>
        <w:t>of condensate</w:t>
      </w:r>
      <w:r w:rsidR="00ED747F" w:rsidRPr="00EC6BF9">
        <w:rPr>
          <w:rFonts w:ascii="Calibri" w:hAnsi="Calibri" w:cs="Calibri"/>
          <w:lang w:val="en-GB"/>
        </w:rPr>
        <w:t xml:space="preserve"> per day</w:t>
      </w:r>
      <w:r w:rsidR="00C228CA" w:rsidRPr="00EC6BF9">
        <w:rPr>
          <w:rFonts w:ascii="Calibri" w:hAnsi="Calibri" w:cs="Calibri"/>
          <w:lang w:val="en-GB"/>
        </w:rPr>
        <w:t xml:space="preserve">, demonstrating </w:t>
      </w:r>
      <w:r w:rsidR="00402E35" w:rsidRPr="00EC6BF9">
        <w:rPr>
          <w:rFonts w:ascii="Calibri" w:hAnsi="Calibri" w:cs="Calibri"/>
          <w:lang w:val="en-GB"/>
        </w:rPr>
        <w:t>good</w:t>
      </w:r>
      <w:r w:rsidR="00C228CA" w:rsidRPr="00EC6BF9">
        <w:rPr>
          <w:rFonts w:ascii="Calibri" w:hAnsi="Calibri" w:cs="Calibri"/>
          <w:lang w:val="en-GB"/>
        </w:rPr>
        <w:t xml:space="preserve"> productivity.</w:t>
      </w:r>
    </w:p>
    <w:p w14:paraId="2E52CDB0" w14:textId="12312592" w:rsidR="00E422BA" w:rsidRPr="00EC6BF9" w:rsidRDefault="00912AE3" w:rsidP="00EC6BF9">
      <w:pPr>
        <w:jc w:val="both"/>
        <w:rPr>
          <w:rFonts w:ascii="Calibri" w:hAnsi="Calibri" w:cs="Calibri"/>
          <w:lang w:val="en-GB"/>
        </w:rPr>
      </w:pPr>
      <w:r w:rsidRPr="00EC6BF9">
        <w:rPr>
          <w:rFonts w:ascii="Calibri" w:hAnsi="Calibri" w:cs="Calibri"/>
          <w:lang w:val="en-GB"/>
        </w:rPr>
        <w:t xml:space="preserve">Leveraging existing infrastructure within the </w:t>
      </w:r>
      <w:proofErr w:type="spellStart"/>
      <w:r w:rsidRPr="00EC6BF9">
        <w:rPr>
          <w:rFonts w:ascii="Calibri" w:hAnsi="Calibri" w:cs="Calibri"/>
          <w:lang w:val="en-GB"/>
        </w:rPr>
        <w:t>Disouq</w:t>
      </w:r>
      <w:proofErr w:type="spellEnd"/>
      <w:r w:rsidRPr="00EC6BF9">
        <w:rPr>
          <w:rFonts w:ascii="Calibri" w:hAnsi="Calibri" w:cs="Calibri"/>
          <w:lang w:val="en-GB"/>
        </w:rPr>
        <w:t xml:space="preserve"> </w:t>
      </w:r>
      <w:r w:rsidR="00402E35" w:rsidRPr="00EC6BF9">
        <w:rPr>
          <w:rFonts w:ascii="Calibri" w:hAnsi="Calibri" w:cs="Calibri"/>
          <w:lang w:val="en-GB"/>
        </w:rPr>
        <w:t>D</w:t>
      </w:r>
      <w:r w:rsidRPr="00EC6BF9">
        <w:rPr>
          <w:rFonts w:ascii="Calibri" w:hAnsi="Calibri" w:cs="Calibri"/>
          <w:lang w:val="en-GB"/>
        </w:rPr>
        <w:t>evelopment</w:t>
      </w:r>
      <w:r w:rsidR="00D677CE" w:rsidRPr="00EC6BF9">
        <w:rPr>
          <w:rFonts w:ascii="Calibri" w:hAnsi="Calibri" w:cs="Calibri"/>
          <w:lang w:val="en-GB"/>
        </w:rPr>
        <w:t xml:space="preserve"> </w:t>
      </w:r>
      <w:r w:rsidR="00402E35" w:rsidRPr="00EC6BF9">
        <w:rPr>
          <w:rFonts w:ascii="Calibri" w:hAnsi="Calibri" w:cs="Calibri"/>
          <w:lang w:val="en-GB"/>
        </w:rPr>
        <w:t>Lease A</w:t>
      </w:r>
      <w:r w:rsidRPr="00EC6BF9">
        <w:rPr>
          <w:rFonts w:ascii="Calibri" w:hAnsi="Calibri" w:cs="Calibri"/>
          <w:lang w:val="en-GB"/>
        </w:rPr>
        <w:t>rea, EZZ-1 was efficiently brought on stream early 2026. This success highlights Harbour Energy’s proven near-field appraisal strategy</w:t>
      </w:r>
      <w:r w:rsidR="00402E35" w:rsidRPr="00EC6BF9">
        <w:rPr>
          <w:rFonts w:ascii="Calibri" w:hAnsi="Calibri" w:cs="Calibri"/>
          <w:lang w:val="en-GB"/>
        </w:rPr>
        <w:t xml:space="preserve"> in Egypt</w:t>
      </w:r>
      <w:r w:rsidRPr="00EC6BF9">
        <w:rPr>
          <w:rFonts w:ascii="Calibri" w:hAnsi="Calibri" w:cs="Calibri"/>
          <w:lang w:val="en-GB"/>
        </w:rPr>
        <w:t>, focused on accelerating production through infrastructure-led developments and enabling rapid tie-in to Egypt’s national natural gas grid.</w:t>
      </w:r>
    </w:p>
    <w:p w14:paraId="0248B017" w14:textId="6497CF43" w:rsidR="00AE53F1" w:rsidRPr="00EC6BF9" w:rsidRDefault="00AE53F1" w:rsidP="00EC6BF9">
      <w:pPr>
        <w:jc w:val="both"/>
        <w:rPr>
          <w:rFonts w:ascii="Calibri" w:hAnsi="Calibri" w:cs="Calibri"/>
          <w:lang w:val="en-GB"/>
        </w:rPr>
      </w:pPr>
      <w:r w:rsidRPr="00EC6BF9">
        <w:rPr>
          <w:rFonts w:ascii="Calibri" w:hAnsi="Calibri" w:cs="Calibri"/>
          <w:lang w:val="en-GB"/>
        </w:rPr>
        <w:t xml:space="preserve">The appraisal </w:t>
      </w:r>
      <w:r w:rsidR="00CA2383" w:rsidRPr="00EC6BF9">
        <w:rPr>
          <w:rFonts w:ascii="Calibri" w:hAnsi="Calibri" w:cs="Calibri"/>
          <w:lang w:val="en-GB"/>
        </w:rPr>
        <w:t xml:space="preserve">drilling of EZZ-1 and </w:t>
      </w:r>
      <w:r w:rsidR="00276514" w:rsidRPr="00EC6BF9">
        <w:rPr>
          <w:rFonts w:ascii="Calibri" w:hAnsi="Calibri" w:cs="Calibri"/>
          <w:lang w:val="en-GB"/>
        </w:rPr>
        <w:t>E</w:t>
      </w:r>
      <w:r w:rsidR="00420F62" w:rsidRPr="00EC6BF9">
        <w:rPr>
          <w:rFonts w:ascii="Calibri" w:hAnsi="Calibri" w:cs="Calibri"/>
          <w:lang w:val="en-GB"/>
        </w:rPr>
        <w:t>ZZ</w:t>
      </w:r>
      <w:r w:rsidR="00276514" w:rsidRPr="00EC6BF9">
        <w:rPr>
          <w:rFonts w:ascii="Calibri" w:hAnsi="Calibri" w:cs="Calibri"/>
          <w:lang w:val="en-GB"/>
        </w:rPr>
        <w:t>-2</w:t>
      </w:r>
      <w:r w:rsidRPr="00EC6BF9">
        <w:rPr>
          <w:rFonts w:ascii="Calibri" w:hAnsi="Calibri" w:cs="Calibri"/>
          <w:lang w:val="en-GB"/>
        </w:rPr>
        <w:t xml:space="preserve"> </w:t>
      </w:r>
      <w:r w:rsidR="00CA2383" w:rsidRPr="00EC6BF9">
        <w:rPr>
          <w:rFonts w:ascii="Calibri" w:hAnsi="Calibri" w:cs="Calibri"/>
          <w:lang w:val="en-GB"/>
        </w:rPr>
        <w:t xml:space="preserve">was completed </w:t>
      </w:r>
      <w:r w:rsidRPr="00EC6BF9">
        <w:rPr>
          <w:rFonts w:ascii="Calibri" w:hAnsi="Calibri" w:cs="Calibri"/>
          <w:lang w:val="en-GB"/>
        </w:rPr>
        <w:t xml:space="preserve">on time and within </w:t>
      </w:r>
      <w:r w:rsidR="00D677CE" w:rsidRPr="00EC6BF9">
        <w:rPr>
          <w:rFonts w:ascii="Calibri" w:hAnsi="Calibri" w:cs="Calibri"/>
          <w:lang w:val="en-GB"/>
        </w:rPr>
        <w:t>budget and</w:t>
      </w:r>
      <w:r w:rsidR="00276514" w:rsidRPr="00EC6BF9">
        <w:rPr>
          <w:rFonts w:ascii="Calibri" w:hAnsi="Calibri" w:cs="Calibri"/>
          <w:lang w:val="en-GB"/>
        </w:rPr>
        <w:t xml:space="preserve"> </w:t>
      </w:r>
      <w:r w:rsidR="0027110D" w:rsidRPr="00EC6BF9">
        <w:rPr>
          <w:rFonts w:ascii="Calibri" w:hAnsi="Calibri" w:cs="Calibri"/>
          <w:lang w:val="en-GB"/>
        </w:rPr>
        <w:t xml:space="preserve">it </w:t>
      </w:r>
      <w:r w:rsidRPr="00EC6BF9">
        <w:rPr>
          <w:rFonts w:ascii="Calibri" w:hAnsi="Calibri" w:cs="Calibri"/>
          <w:lang w:val="en-GB"/>
        </w:rPr>
        <w:t>validate</w:t>
      </w:r>
      <w:r w:rsidR="0027110D" w:rsidRPr="00EC6BF9">
        <w:rPr>
          <w:rFonts w:ascii="Calibri" w:hAnsi="Calibri" w:cs="Calibri"/>
          <w:lang w:val="en-GB"/>
        </w:rPr>
        <w:t>s</w:t>
      </w:r>
      <w:r w:rsidR="00276514" w:rsidRPr="00EC6BF9">
        <w:rPr>
          <w:rFonts w:ascii="Calibri" w:hAnsi="Calibri" w:cs="Calibri"/>
          <w:lang w:val="en-GB"/>
        </w:rPr>
        <w:t xml:space="preserve"> the</w:t>
      </w:r>
      <w:r w:rsidR="00681EC1" w:rsidRPr="00EC6BF9">
        <w:rPr>
          <w:rFonts w:ascii="Calibri" w:hAnsi="Calibri" w:cs="Calibri"/>
          <w:lang w:val="en-GB"/>
        </w:rPr>
        <w:t xml:space="preserve"> </w:t>
      </w:r>
      <w:r w:rsidR="00B371CF" w:rsidRPr="00EC6BF9">
        <w:rPr>
          <w:rFonts w:ascii="Calibri" w:hAnsi="Calibri" w:cs="Calibri"/>
          <w:lang w:val="en-GB"/>
        </w:rPr>
        <w:t xml:space="preserve">expected </w:t>
      </w:r>
      <w:r w:rsidR="00681EC1" w:rsidRPr="00EC6BF9">
        <w:rPr>
          <w:rFonts w:ascii="Calibri" w:hAnsi="Calibri" w:cs="Calibri"/>
          <w:lang w:val="en-GB"/>
        </w:rPr>
        <w:t>gas</w:t>
      </w:r>
      <w:r w:rsidRPr="00EC6BF9">
        <w:rPr>
          <w:rFonts w:ascii="Calibri" w:hAnsi="Calibri" w:cs="Calibri"/>
          <w:lang w:val="en-GB"/>
        </w:rPr>
        <w:t xml:space="preserve"> </w:t>
      </w:r>
      <w:r w:rsidR="00120C47" w:rsidRPr="00EC6BF9">
        <w:rPr>
          <w:rFonts w:ascii="Calibri" w:hAnsi="Calibri" w:cs="Calibri"/>
          <w:lang w:val="en-GB"/>
        </w:rPr>
        <w:t xml:space="preserve">in-place </w:t>
      </w:r>
      <w:r w:rsidR="00276514" w:rsidRPr="00EC6BF9">
        <w:rPr>
          <w:rFonts w:ascii="Calibri" w:hAnsi="Calibri" w:cs="Calibri"/>
          <w:lang w:val="en-GB"/>
        </w:rPr>
        <w:t>of 35 bcf</w:t>
      </w:r>
      <w:r w:rsidR="00076008" w:rsidRPr="00EC6BF9">
        <w:rPr>
          <w:rFonts w:ascii="Calibri" w:hAnsi="Calibri" w:cs="Calibri"/>
          <w:lang w:val="en-GB"/>
        </w:rPr>
        <w:t xml:space="preserve"> and 2 </w:t>
      </w:r>
      <w:proofErr w:type="spellStart"/>
      <w:r w:rsidR="00076008" w:rsidRPr="00EC6BF9">
        <w:rPr>
          <w:rFonts w:ascii="Calibri" w:hAnsi="Calibri" w:cs="Calibri"/>
          <w:lang w:val="en-GB"/>
        </w:rPr>
        <w:t>mmstb</w:t>
      </w:r>
      <w:proofErr w:type="spellEnd"/>
      <w:r w:rsidR="00076008" w:rsidRPr="00EC6BF9">
        <w:rPr>
          <w:rFonts w:ascii="Calibri" w:hAnsi="Calibri" w:cs="Calibri"/>
          <w:lang w:val="en-GB"/>
        </w:rPr>
        <w:t xml:space="preserve"> associated condensate</w:t>
      </w:r>
      <w:r w:rsidR="0027110D" w:rsidRPr="00EC6BF9">
        <w:rPr>
          <w:rFonts w:ascii="Calibri" w:hAnsi="Calibri" w:cs="Calibri"/>
          <w:lang w:val="en-GB"/>
        </w:rPr>
        <w:t>, whilst</w:t>
      </w:r>
      <w:r w:rsidR="00276514" w:rsidRPr="00EC6BF9">
        <w:rPr>
          <w:rFonts w:ascii="Calibri" w:hAnsi="Calibri" w:cs="Calibri"/>
          <w:lang w:val="en-GB"/>
        </w:rPr>
        <w:t xml:space="preserve"> </w:t>
      </w:r>
      <w:r w:rsidR="00D677CE" w:rsidRPr="00EC6BF9">
        <w:rPr>
          <w:rFonts w:ascii="Calibri" w:hAnsi="Calibri" w:cs="Calibri"/>
          <w:lang w:val="en-GB"/>
        </w:rPr>
        <w:t xml:space="preserve">further </w:t>
      </w:r>
      <w:r w:rsidR="00276514" w:rsidRPr="00EC6BF9">
        <w:rPr>
          <w:rFonts w:ascii="Calibri" w:hAnsi="Calibri" w:cs="Calibri"/>
          <w:lang w:val="en-GB"/>
        </w:rPr>
        <w:t>derisk</w:t>
      </w:r>
      <w:r w:rsidR="0027110D" w:rsidRPr="00EC6BF9">
        <w:rPr>
          <w:rFonts w:ascii="Calibri" w:hAnsi="Calibri" w:cs="Calibri"/>
          <w:lang w:val="en-GB"/>
        </w:rPr>
        <w:t>ing</w:t>
      </w:r>
      <w:r w:rsidR="00276514" w:rsidRPr="00EC6BF9">
        <w:rPr>
          <w:rFonts w:ascii="Calibri" w:hAnsi="Calibri" w:cs="Calibri"/>
          <w:lang w:val="en-GB"/>
        </w:rPr>
        <w:t xml:space="preserve"> the upside as opportunity for the condensate rich area in the </w:t>
      </w:r>
      <w:proofErr w:type="spellStart"/>
      <w:r w:rsidR="00276514" w:rsidRPr="00EC6BF9">
        <w:rPr>
          <w:rFonts w:ascii="Calibri" w:hAnsi="Calibri" w:cs="Calibri"/>
          <w:lang w:val="en-GB"/>
        </w:rPr>
        <w:t>Disouq</w:t>
      </w:r>
      <w:proofErr w:type="spellEnd"/>
      <w:r w:rsidR="00276514" w:rsidRPr="00EC6BF9">
        <w:rPr>
          <w:rFonts w:ascii="Calibri" w:hAnsi="Calibri" w:cs="Calibri"/>
          <w:lang w:val="en-GB"/>
        </w:rPr>
        <w:t xml:space="preserve"> Concession.</w:t>
      </w:r>
    </w:p>
    <w:p w14:paraId="69915085" w14:textId="5EF4772C" w:rsidR="004C5DF5" w:rsidRPr="00EC6BF9" w:rsidRDefault="004C5DF5" w:rsidP="00EC6BF9">
      <w:pPr>
        <w:jc w:val="both"/>
        <w:rPr>
          <w:rFonts w:ascii="Calibri" w:hAnsi="Calibri" w:cs="Calibri"/>
          <w:lang w:val="en-GB"/>
        </w:rPr>
      </w:pPr>
      <w:r w:rsidRPr="00EC6BF9">
        <w:rPr>
          <w:rFonts w:ascii="Calibri" w:hAnsi="Calibri" w:cs="Calibri"/>
          <w:lang w:val="en-GB"/>
        </w:rPr>
        <w:t xml:space="preserve">Sameh Sabry, Managing Director BU </w:t>
      </w:r>
      <w:r w:rsidR="00D06042" w:rsidRPr="00EC6BF9">
        <w:rPr>
          <w:rFonts w:ascii="Calibri" w:hAnsi="Calibri" w:cs="Calibri"/>
          <w:lang w:val="en-GB"/>
        </w:rPr>
        <w:t>MENA</w:t>
      </w:r>
      <w:r w:rsidRPr="00EC6BF9">
        <w:rPr>
          <w:rFonts w:ascii="Calibri" w:hAnsi="Calibri" w:cs="Calibri"/>
          <w:lang w:val="en-GB"/>
        </w:rPr>
        <w:t>, said: “</w:t>
      </w:r>
      <w:r w:rsidR="0027110D" w:rsidRPr="00EC6BF9">
        <w:rPr>
          <w:rFonts w:ascii="Calibri" w:hAnsi="Calibri" w:cs="Calibri"/>
          <w:lang w:val="en-GB"/>
        </w:rPr>
        <w:t>T</w:t>
      </w:r>
      <w:r w:rsidRPr="00EC6BF9">
        <w:rPr>
          <w:rFonts w:ascii="Calibri" w:hAnsi="Calibri" w:cs="Calibri"/>
          <w:lang w:val="en-GB"/>
        </w:rPr>
        <w:t xml:space="preserve">his discovery is a </w:t>
      </w:r>
      <w:r w:rsidR="0027110D" w:rsidRPr="00EC6BF9">
        <w:rPr>
          <w:rFonts w:ascii="Calibri" w:hAnsi="Calibri" w:cs="Calibri"/>
          <w:lang w:val="en-GB"/>
        </w:rPr>
        <w:t xml:space="preserve">reflection of our </w:t>
      </w:r>
      <w:r w:rsidR="00EC6BF9" w:rsidRPr="00EC6BF9">
        <w:rPr>
          <w:rFonts w:ascii="Calibri" w:hAnsi="Calibri" w:cs="Calibri"/>
          <w:lang w:val="en-GB"/>
        </w:rPr>
        <w:t>robust strategic</w:t>
      </w:r>
      <w:r w:rsidR="00440CD3" w:rsidRPr="00EC6BF9">
        <w:rPr>
          <w:rFonts w:ascii="Calibri" w:hAnsi="Calibri" w:cs="Calibri"/>
          <w:lang w:val="en-GB"/>
        </w:rPr>
        <w:t xml:space="preserve"> planning and</w:t>
      </w:r>
      <w:r w:rsidR="00025E27" w:rsidRPr="00EC6BF9">
        <w:rPr>
          <w:rFonts w:ascii="Calibri" w:hAnsi="Calibri" w:cs="Calibri"/>
          <w:lang w:val="en-GB"/>
        </w:rPr>
        <w:t xml:space="preserve"> </w:t>
      </w:r>
      <w:r w:rsidR="00891DE8" w:rsidRPr="00EC6BF9">
        <w:rPr>
          <w:rFonts w:ascii="Calibri" w:hAnsi="Calibri" w:cs="Calibri"/>
          <w:lang w:val="en-GB"/>
        </w:rPr>
        <w:t>value driven</w:t>
      </w:r>
      <w:r w:rsidR="00440CD3" w:rsidRPr="00EC6BF9">
        <w:rPr>
          <w:rFonts w:ascii="Calibri" w:hAnsi="Calibri" w:cs="Calibri"/>
          <w:lang w:val="en-GB"/>
        </w:rPr>
        <w:t xml:space="preserve"> </w:t>
      </w:r>
      <w:r w:rsidR="00025E27" w:rsidRPr="00EC6BF9">
        <w:rPr>
          <w:rFonts w:ascii="Calibri" w:hAnsi="Calibri" w:cs="Calibri"/>
          <w:lang w:val="en-GB"/>
        </w:rPr>
        <w:t xml:space="preserve">delivery </w:t>
      </w:r>
      <w:r w:rsidR="00440CD3" w:rsidRPr="00EC6BF9">
        <w:rPr>
          <w:rFonts w:ascii="Calibri" w:hAnsi="Calibri" w:cs="Calibri"/>
          <w:lang w:val="en-GB"/>
        </w:rPr>
        <w:t>approach</w:t>
      </w:r>
      <w:r w:rsidR="0027110D" w:rsidRPr="00EC6BF9">
        <w:rPr>
          <w:rFonts w:ascii="Calibri" w:hAnsi="Calibri" w:cs="Calibri"/>
          <w:lang w:val="en-GB"/>
        </w:rPr>
        <w:t xml:space="preserve"> and is a great result for Harbour Energy in Egypt</w:t>
      </w:r>
      <w:r w:rsidRPr="00EC6BF9">
        <w:rPr>
          <w:rFonts w:ascii="Calibri" w:hAnsi="Calibri" w:cs="Calibri"/>
          <w:lang w:val="en-GB"/>
        </w:rPr>
        <w:t>.”</w:t>
      </w:r>
    </w:p>
    <w:p w14:paraId="7DCD024D" w14:textId="2976697A" w:rsidR="007C7B6B" w:rsidRPr="00EC6BF9" w:rsidRDefault="007C7B6B" w:rsidP="00EC6BF9">
      <w:pPr>
        <w:jc w:val="both"/>
        <w:rPr>
          <w:rFonts w:ascii="Calibri" w:hAnsi="Calibri" w:cs="Calibri"/>
          <w:lang w:val="en-GB"/>
        </w:rPr>
      </w:pPr>
      <w:r w:rsidRPr="00EC6BF9">
        <w:rPr>
          <w:rFonts w:ascii="Calibri" w:hAnsi="Calibri" w:cs="Calibri"/>
          <w:lang w:val="en-GB"/>
        </w:rPr>
        <w:t>Ol</w:t>
      </w:r>
      <w:r w:rsidR="00D06042" w:rsidRPr="00EC6BF9">
        <w:rPr>
          <w:rFonts w:ascii="Calibri" w:hAnsi="Calibri" w:cs="Calibri"/>
          <w:lang w:val="en-GB"/>
        </w:rPr>
        <w:t>a</w:t>
      </w:r>
      <w:r w:rsidRPr="00EC6BF9">
        <w:rPr>
          <w:rFonts w:ascii="Calibri" w:hAnsi="Calibri" w:cs="Calibri"/>
          <w:lang w:val="en-GB"/>
        </w:rPr>
        <w:t>f Reetz, D</w:t>
      </w:r>
      <w:r w:rsidR="00EC6BF9">
        <w:rPr>
          <w:rFonts w:ascii="Calibri" w:hAnsi="Calibri" w:cs="Calibri"/>
          <w:lang w:val="en-GB"/>
        </w:rPr>
        <w:t>ISOUCO</w:t>
      </w:r>
      <w:r w:rsidRPr="00EC6BF9">
        <w:rPr>
          <w:rFonts w:ascii="Calibri" w:hAnsi="Calibri" w:cs="Calibri"/>
          <w:lang w:val="en-GB"/>
        </w:rPr>
        <w:t xml:space="preserve"> JV Managing Director, add</w:t>
      </w:r>
      <w:r w:rsidR="0027110D" w:rsidRPr="00EC6BF9">
        <w:rPr>
          <w:rFonts w:ascii="Calibri" w:hAnsi="Calibri" w:cs="Calibri"/>
          <w:lang w:val="en-GB"/>
        </w:rPr>
        <w:t>ed</w:t>
      </w:r>
      <w:r w:rsidRPr="00EC6BF9">
        <w:rPr>
          <w:rFonts w:ascii="Calibri" w:hAnsi="Calibri" w:cs="Calibri"/>
          <w:lang w:val="en-GB"/>
        </w:rPr>
        <w:t xml:space="preserve">: “Harbour Energy has always been an active partner in the DISOUCO project, and we are pleased to strengthen our </w:t>
      </w:r>
      <w:r w:rsidR="00D06042" w:rsidRPr="00EC6BF9">
        <w:rPr>
          <w:rFonts w:ascii="Calibri" w:hAnsi="Calibri" w:cs="Calibri"/>
          <w:lang w:val="en-GB"/>
        </w:rPr>
        <w:t>position</w:t>
      </w:r>
      <w:r w:rsidR="00440CD3" w:rsidRPr="00EC6BF9">
        <w:rPr>
          <w:rFonts w:ascii="Calibri" w:hAnsi="Calibri" w:cs="Calibri"/>
          <w:lang w:val="en-GB"/>
        </w:rPr>
        <w:t xml:space="preserve"> with this significant discovery</w:t>
      </w:r>
      <w:r w:rsidR="00531085" w:rsidRPr="00EC6BF9">
        <w:rPr>
          <w:rFonts w:ascii="Calibri" w:hAnsi="Calibri" w:cs="Calibri"/>
          <w:lang w:val="en-GB"/>
        </w:rPr>
        <w:t xml:space="preserve"> based on our infra</w:t>
      </w:r>
      <w:r w:rsidR="008A56AA" w:rsidRPr="00EC6BF9">
        <w:rPr>
          <w:rFonts w:ascii="Calibri" w:hAnsi="Calibri" w:cs="Calibri"/>
          <w:lang w:val="en-GB"/>
        </w:rPr>
        <w:t>structure led exploration approac</w:t>
      </w:r>
      <w:r w:rsidR="0027110D" w:rsidRPr="00EC6BF9">
        <w:rPr>
          <w:rFonts w:ascii="Calibri" w:hAnsi="Calibri" w:cs="Calibri"/>
          <w:lang w:val="en-GB"/>
        </w:rPr>
        <w:t>h.</w:t>
      </w:r>
      <w:r w:rsidR="00531085" w:rsidRPr="00EC6BF9">
        <w:rPr>
          <w:rFonts w:ascii="Calibri" w:hAnsi="Calibri" w:cs="Calibri"/>
          <w:lang w:val="en-GB"/>
        </w:rPr>
        <w:t xml:space="preserve"> </w:t>
      </w:r>
      <w:r w:rsidR="0027110D" w:rsidRPr="00EC6BF9">
        <w:rPr>
          <w:rFonts w:ascii="Calibri" w:hAnsi="Calibri" w:cs="Calibri"/>
          <w:lang w:val="en-GB"/>
        </w:rPr>
        <w:t>T</w:t>
      </w:r>
      <w:r w:rsidR="00531085" w:rsidRPr="00EC6BF9">
        <w:rPr>
          <w:rFonts w:ascii="Calibri" w:hAnsi="Calibri" w:cs="Calibri"/>
          <w:lang w:val="en-GB"/>
        </w:rPr>
        <w:t>he</w:t>
      </w:r>
      <w:r w:rsidR="008A56AA" w:rsidRPr="00EC6BF9">
        <w:rPr>
          <w:rFonts w:ascii="Calibri" w:hAnsi="Calibri" w:cs="Calibri"/>
          <w:lang w:val="en-GB"/>
        </w:rPr>
        <w:t xml:space="preserve"> EZZ-1</w:t>
      </w:r>
      <w:r w:rsidR="00585DF1" w:rsidRPr="00EC6BF9">
        <w:rPr>
          <w:rFonts w:ascii="Calibri" w:hAnsi="Calibri" w:cs="Calibri"/>
          <w:lang w:val="en-GB"/>
        </w:rPr>
        <w:t xml:space="preserve"> well</w:t>
      </w:r>
      <w:r w:rsidR="008A56AA" w:rsidRPr="00EC6BF9">
        <w:rPr>
          <w:rFonts w:ascii="Calibri" w:hAnsi="Calibri" w:cs="Calibri"/>
          <w:lang w:val="en-GB"/>
        </w:rPr>
        <w:t xml:space="preserve"> </w:t>
      </w:r>
      <w:r w:rsidR="0027110D" w:rsidRPr="00EC6BF9">
        <w:rPr>
          <w:rFonts w:ascii="Calibri" w:hAnsi="Calibri" w:cs="Calibri"/>
          <w:lang w:val="en-GB"/>
        </w:rPr>
        <w:t xml:space="preserve">has been </w:t>
      </w:r>
      <w:r w:rsidR="00585DF1" w:rsidRPr="00EC6BF9">
        <w:rPr>
          <w:rFonts w:ascii="Calibri" w:hAnsi="Calibri" w:cs="Calibri"/>
          <w:lang w:val="en-GB"/>
        </w:rPr>
        <w:t>brought safely</w:t>
      </w:r>
      <w:r w:rsidR="008A56AA" w:rsidRPr="00EC6BF9">
        <w:rPr>
          <w:rFonts w:ascii="Calibri" w:hAnsi="Calibri" w:cs="Calibri"/>
          <w:lang w:val="en-GB"/>
        </w:rPr>
        <w:t xml:space="preserve"> on stream</w:t>
      </w:r>
      <w:r w:rsidR="0027110D" w:rsidRPr="00EC6BF9">
        <w:rPr>
          <w:rFonts w:ascii="Calibri" w:hAnsi="Calibri" w:cs="Calibri"/>
          <w:lang w:val="en-GB"/>
        </w:rPr>
        <w:t xml:space="preserve"> just</w:t>
      </w:r>
      <w:r w:rsidR="008A56AA" w:rsidRPr="00EC6BF9">
        <w:rPr>
          <w:rFonts w:ascii="Calibri" w:hAnsi="Calibri" w:cs="Calibri"/>
          <w:lang w:val="en-GB"/>
        </w:rPr>
        <w:t xml:space="preserve"> three month</w:t>
      </w:r>
      <w:r w:rsidR="0027110D" w:rsidRPr="00EC6BF9">
        <w:rPr>
          <w:rFonts w:ascii="Calibri" w:hAnsi="Calibri" w:cs="Calibri"/>
          <w:lang w:val="en-GB"/>
        </w:rPr>
        <w:t>s</w:t>
      </w:r>
      <w:r w:rsidR="008A56AA" w:rsidRPr="00EC6BF9">
        <w:rPr>
          <w:rFonts w:ascii="Calibri" w:hAnsi="Calibri" w:cs="Calibri"/>
          <w:lang w:val="en-GB"/>
        </w:rPr>
        <w:t xml:space="preserve"> after discovery</w:t>
      </w:r>
      <w:r w:rsidRPr="00EC6BF9">
        <w:rPr>
          <w:rFonts w:ascii="Calibri" w:hAnsi="Calibri" w:cs="Calibri"/>
          <w:lang w:val="en-GB"/>
        </w:rPr>
        <w:t>.</w:t>
      </w:r>
      <w:r w:rsidR="00040CAC" w:rsidRPr="00EC6BF9">
        <w:rPr>
          <w:rFonts w:ascii="Calibri" w:hAnsi="Calibri" w:cs="Calibri"/>
          <w:lang w:val="en-GB"/>
        </w:rPr>
        <w:t>”</w:t>
      </w:r>
    </w:p>
    <w:p w14:paraId="4629BCD6" w14:textId="77777777" w:rsidR="00EC6BF9" w:rsidRDefault="00EC6BF9" w:rsidP="00DC2068">
      <w:pPr>
        <w:jc w:val="both"/>
        <w:rPr>
          <w:rFonts w:ascii="Calibri" w:hAnsi="Calibri" w:cs="Calibri"/>
          <w:b/>
          <w:bCs/>
          <w:lang w:val="en-GB"/>
        </w:rPr>
      </w:pPr>
    </w:p>
    <w:p w14:paraId="564CF89D" w14:textId="14596FFB" w:rsidR="00DC2068" w:rsidRPr="00EC6BF9" w:rsidRDefault="00DC2068" w:rsidP="00DC2068">
      <w:pPr>
        <w:jc w:val="both"/>
        <w:rPr>
          <w:rFonts w:ascii="Calibri" w:hAnsi="Calibri" w:cs="Calibri"/>
          <w:b/>
          <w:bCs/>
          <w:lang w:val="en-GB"/>
        </w:rPr>
      </w:pPr>
      <w:r w:rsidRPr="00EC6BF9">
        <w:rPr>
          <w:rFonts w:ascii="Calibri" w:hAnsi="Calibri" w:cs="Calibri"/>
          <w:b/>
          <w:bCs/>
          <w:lang w:val="en-GB"/>
        </w:rPr>
        <w:t>Notes to editors:</w:t>
      </w:r>
    </w:p>
    <w:p w14:paraId="791D049A" w14:textId="00BF7995" w:rsidR="00EC6BF9" w:rsidRDefault="00EC6BF9" w:rsidP="00DC2068">
      <w:pPr>
        <w:jc w:val="both"/>
        <w:rPr>
          <w:rFonts w:ascii="Calibri" w:hAnsi="Calibri" w:cs="Calibri"/>
          <w:lang w:val="en-GB"/>
        </w:rPr>
      </w:pPr>
      <w:r w:rsidRPr="00EC6BF9">
        <w:rPr>
          <w:rFonts w:ascii="Calibri" w:hAnsi="Calibri" w:cs="Calibri"/>
          <w:lang w:val="en-GB"/>
        </w:rPr>
        <w:t>DISOUCO is a J</w:t>
      </w:r>
      <w:r>
        <w:rPr>
          <w:rFonts w:ascii="Calibri" w:hAnsi="Calibri" w:cs="Calibri"/>
          <w:lang w:val="en-GB"/>
        </w:rPr>
        <w:t>oint Venture</w:t>
      </w:r>
      <w:r w:rsidRPr="00EC6BF9">
        <w:rPr>
          <w:rFonts w:ascii="Calibri" w:hAnsi="Calibri" w:cs="Calibri"/>
          <w:lang w:val="en-GB"/>
        </w:rPr>
        <w:t xml:space="preserve"> between Harbour Energy and EGAS</w:t>
      </w:r>
      <w:r w:rsidR="004B10EA">
        <w:rPr>
          <w:rFonts w:ascii="Calibri" w:hAnsi="Calibri" w:cs="Calibri"/>
          <w:lang w:val="en-GB"/>
        </w:rPr>
        <w:t xml:space="preserve">. </w:t>
      </w:r>
    </w:p>
    <w:p w14:paraId="65478452" w14:textId="302E7D6C" w:rsidR="004B10EA" w:rsidRDefault="004B10EA" w:rsidP="00DC2068">
      <w:pPr>
        <w:jc w:val="both"/>
        <w:rPr>
          <w:rFonts w:ascii="Calibri" w:hAnsi="Calibri" w:cs="Calibri"/>
          <w:lang w:val="en-GB"/>
        </w:rPr>
      </w:pPr>
      <w:proofErr w:type="spellStart"/>
      <w:r>
        <w:rPr>
          <w:rFonts w:ascii="Calibri" w:hAnsi="Calibri" w:cs="Calibri"/>
          <w:lang w:val="en-GB"/>
        </w:rPr>
        <w:t>Disouq</w:t>
      </w:r>
      <w:proofErr w:type="spellEnd"/>
      <w:r>
        <w:rPr>
          <w:rFonts w:ascii="Calibri" w:hAnsi="Calibri" w:cs="Calibri"/>
          <w:lang w:val="en-GB"/>
        </w:rPr>
        <w:t xml:space="preserve"> is operated by DISOUCO (Harbour Energy, 100%).</w:t>
      </w:r>
    </w:p>
    <w:p w14:paraId="512FB392" w14:textId="77777777" w:rsidR="00EC6BF9" w:rsidRDefault="00EC6BF9" w:rsidP="00DC2068">
      <w:pPr>
        <w:jc w:val="both"/>
        <w:rPr>
          <w:rFonts w:ascii="Calibri" w:hAnsi="Calibri" w:cs="Calibri"/>
          <w:lang w:val="en-GB"/>
        </w:rPr>
      </w:pPr>
    </w:p>
    <w:p w14:paraId="5840BE26" w14:textId="69468380" w:rsidR="00DC2068" w:rsidRPr="00EC6BF9" w:rsidRDefault="00DC2068" w:rsidP="00DC2068">
      <w:pPr>
        <w:jc w:val="both"/>
        <w:rPr>
          <w:rFonts w:ascii="Calibri" w:hAnsi="Calibri" w:cs="Calibri"/>
          <w:b/>
          <w:bCs/>
          <w:lang w:val="en-GB"/>
        </w:rPr>
      </w:pPr>
      <w:r w:rsidRPr="00EC6BF9">
        <w:rPr>
          <w:rFonts w:ascii="Calibri" w:hAnsi="Calibri" w:cs="Calibri"/>
          <w:b/>
          <w:bCs/>
          <w:lang w:val="en-GB"/>
        </w:rPr>
        <w:t>About Harbour Energy</w:t>
      </w:r>
    </w:p>
    <w:p w14:paraId="46CBA2F4" w14:textId="77777777" w:rsidR="00DC2068" w:rsidRPr="00DC2068" w:rsidRDefault="00DC2068" w:rsidP="00DC2068">
      <w:pPr>
        <w:jc w:val="both"/>
        <w:rPr>
          <w:rFonts w:ascii="Calibri" w:hAnsi="Calibri" w:cs="Calibri"/>
          <w:lang w:val="en-GB"/>
        </w:rPr>
      </w:pPr>
      <w:r w:rsidRPr="00DC2068">
        <w:rPr>
          <w:rFonts w:ascii="Calibri" w:hAnsi="Calibri" w:cs="Calibri"/>
          <w:lang w:val="en-GB"/>
        </w:rPr>
        <w:t>Since its creation in 2014, Harbour Energy has grown to become one of the world’s largest and most geographically diverse independent oil and gas companies.</w:t>
      </w:r>
    </w:p>
    <w:p w14:paraId="0D373ABE" w14:textId="77777777" w:rsidR="00DC2068" w:rsidRPr="00DC2068" w:rsidRDefault="00DC2068" w:rsidP="00DC2068">
      <w:pPr>
        <w:jc w:val="both"/>
        <w:rPr>
          <w:rFonts w:ascii="Calibri" w:hAnsi="Calibri" w:cs="Calibri"/>
          <w:lang w:val="en-GB"/>
        </w:rPr>
      </w:pPr>
      <w:r w:rsidRPr="00DC2068">
        <w:rPr>
          <w:rFonts w:ascii="Calibri" w:hAnsi="Calibri" w:cs="Calibri"/>
          <w:lang w:val="en-GB"/>
        </w:rPr>
        <w:t>Today, Harbour is producing more than 450,000 barrels of oil equivalent per day with significant production in Norway, the UK, Germany, Argentina and North Africa. Harbour benefits from competitive operating costs and resilient margins, and a broad set of growth options including near-infrastructure opportunities in Norway, unconventional scalable opportunities in Argentina and conventional offshore projects in Mexico and Indonesia. With low GHG emissions intensity and a leading CO2 storage position in Europe, Harbour remains committed to producing oil and gas safely and responsibly to help meet the world’s energy needs.</w:t>
      </w:r>
    </w:p>
    <w:p w14:paraId="1AD5452C" w14:textId="77777777" w:rsidR="00DC2068" w:rsidRPr="00DC2068" w:rsidRDefault="00DC2068" w:rsidP="00DC2068">
      <w:pPr>
        <w:jc w:val="both"/>
        <w:rPr>
          <w:rFonts w:ascii="Calibri" w:hAnsi="Calibri" w:cs="Calibri"/>
          <w:lang w:val="en-GB"/>
        </w:rPr>
      </w:pPr>
      <w:r w:rsidRPr="00DC2068">
        <w:rPr>
          <w:rFonts w:ascii="Calibri" w:hAnsi="Calibri" w:cs="Calibri"/>
          <w:lang w:val="en-GB"/>
        </w:rPr>
        <w:t>Harbour is headquartered in London with approximately 3,400 staff across its operations and offices.</w:t>
      </w:r>
    </w:p>
    <w:p w14:paraId="02CB5AAA" w14:textId="77777777" w:rsidR="00DC2068" w:rsidRPr="00DC2068" w:rsidRDefault="00DC2068" w:rsidP="00DC2068">
      <w:pPr>
        <w:jc w:val="both"/>
        <w:rPr>
          <w:rFonts w:ascii="Calibri" w:hAnsi="Calibri" w:cs="Calibri"/>
          <w:lang w:val="en-GB"/>
        </w:rPr>
      </w:pPr>
      <w:r w:rsidRPr="00DC2068">
        <w:rPr>
          <w:rFonts w:ascii="Calibri" w:hAnsi="Calibri" w:cs="Calibri"/>
          <w:lang w:val="en-GB"/>
        </w:rPr>
        <w:t>Further information on Harbour can be found at </w:t>
      </w:r>
      <w:hyperlink r:id="rId6" w:tooltip="Home" w:history="1">
        <w:r w:rsidRPr="00DC2068">
          <w:rPr>
            <w:rStyle w:val="Hyperlink"/>
            <w:rFonts w:ascii="Calibri" w:hAnsi="Calibri" w:cs="Calibri"/>
            <w:lang w:val="en-GB"/>
          </w:rPr>
          <w:t>www.harbourenergy.com</w:t>
        </w:r>
      </w:hyperlink>
      <w:r w:rsidRPr="00DC2068">
        <w:rPr>
          <w:rFonts w:ascii="Calibri" w:hAnsi="Calibri" w:cs="Calibri"/>
          <w:lang w:val="en-GB"/>
        </w:rPr>
        <w:t>. The Group’s ticker symbol is HBR-GB.</w:t>
      </w:r>
    </w:p>
    <w:p w14:paraId="6C8384BE" w14:textId="77777777" w:rsidR="00087C95" w:rsidRPr="00EC6BF9" w:rsidRDefault="00087C95" w:rsidP="00A342F4">
      <w:pPr>
        <w:jc w:val="both"/>
        <w:rPr>
          <w:rFonts w:ascii="Calibri" w:hAnsi="Calibri" w:cs="Calibri"/>
          <w:lang w:val="en-GB"/>
        </w:rPr>
      </w:pPr>
    </w:p>
    <w:sectPr w:rsidR="00087C95" w:rsidRPr="00EC6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tershallDea Office">
    <w:charset w:val="00"/>
    <w:family w:val="swiss"/>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24C51"/>
    <w:multiLevelType w:val="hybridMultilevel"/>
    <w:tmpl w:val="FE56C662"/>
    <w:lvl w:ilvl="0" w:tplc="186EB03E">
      <w:start w:val="1"/>
      <w:numFmt w:val="decimal"/>
      <w:lvlText w:val="%1."/>
      <w:lvlJc w:val="left"/>
      <w:pPr>
        <w:ind w:left="1020" w:hanging="360"/>
      </w:pPr>
    </w:lvl>
    <w:lvl w:ilvl="1" w:tplc="B9C0A226">
      <w:start w:val="1"/>
      <w:numFmt w:val="decimal"/>
      <w:lvlText w:val="%2."/>
      <w:lvlJc w:val="left"/>
      <w:pPr>
        <w:ind w:left="1020" w:hanging="360"/>
      </w:pPr>
    </w:lvl>
    <w:lvl w:ilvl="2" w:tplc="0E7864F4">
      <w:start w:val="1"/>
      <w:numFmt w:val="decimal"/>
      <w:lvlText w:val="%3."/>
      <w:lvlJc w:val="left"/>
      <w:pPr>
        <w:ind w:left="1020" w:hanging="360"/>
      </w:pPr>
    </w:lvl>
    <w:lvl w:ilvl="3" w:tplc="76D68A9E">
      <w:start w:val="1"/>
      <w:numFmt w:val="decimal"/>
      <w:lvlText w:val="%4."/>
      <w:lvlJc w:val="left"/>
      <w:pPr>
        <w:ind w:left="1020" w:hanging="360"/>
      </w:pPr>
    </w:lvl>
    <w:lvl w:ilvl="4" w:tplc="570E1396">
      <w:start w:val="1"/>
      <w:numFmt w:val="decimal"/>
      <w:lvlText w:val="%5."/>
      <w:lvlJc w:val="left"/>
      <w:pPr>
        <w:ind w:left="1020" w:hanging="360"/>
      </w:pPr>
    </w:lvl>
    <w:lvl w:ilvl="5" w:tplc="BF36EDE4">
      <w:start w:val="1"/>
      <w:numFmt w:val="decimal"/>
      <w:lvlText w:val="%6."/>
      <w:lvlJc w:val="left"/>
      <w:pPr>
        <w:ind w:left="1020" w:hanging="360"/>
      </w:pPr>
    </w:lvl>
    <w:lvl w:ilvl="6" w:tplc="C3EA8050">
      <w:start w:val="1"/>
      <w:numFmt w:val="decimal"/>
      <w:lvlText w:val="%7."/>
      <w:lvlJc w:val="left"/>
      <w:pPr>
        <w:ind w:left="1020" w:hanging="360"/>
      </w:pPr>
    </w:lvl>
    <w:lvl w:ilvl="7" w:tplc="1166BDF0">
      <w:start w:val="1"/>
      <w:numFmt w:val="decimal"/>
      <w:lvlText w:val="%8."/>
      <w:lvlJc w:val="left"/>
      <w:pPr>
        <w:ind w:left="1020" w:hanging="360"/>
      </w:pPr>
    </w:lvl>
    <w:lvl w:ilvl="8" w:tplc="405461EE">
      <w:start w:val="1"/>
      <w:numFmt w:val="decimal"/>
      <w:lvlText w:val="%9."/>
      <w:lvlJc w:val="left"/>
      <w:pPr>
        <w:ind w:left="1020" w:hanging="360"/>
      </w:pPr>
    </w:lvl>
  </w:abstractNum>
  <w:num w:numId="1" w16cid:durableId="65615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F5"/>
    <w:rsid w:val="000064F3"/>
    <w:rsid w:val="00025E27"/>
    <w:rsid w:val="000371E1"/>
    <w:rsid w:val="00040CAC"/>
    <w:rsid w:val="00040D02"/>
    <w:rsid w:val="000414B5"/>
    <w:rsid w:val="00076008"/>
    <w:rsid w:val="00084226"/>
    <w:rsid w:val="00087C95"/>
    <w:rsid w:val="000F75C6"/>
    <w:rsid w:val="00120C47"/>
    <w:rsid w:val="00184E70"/>
    <w:rsid w:val="00190CCD"/>
    <w:rsid w:val="001A0432"/>
    <w:rsid w:val="001C3289"/>
    <w:rsid w:val="001C3C6C"/>
    <w:rsid w:val="001E1DDC"/>
    <w:rsid w:val="002027E3"/>
    <w:rsid w:val="002559A3"/>
    <w:rsid w:val="002562B5"/>
    <w:rsid w:val="0027110D"/>
    <w:rsid w:val="00276514"/>
    <w:rsid w:val="00293506"/>
    <w:rsid w:val="00295DCD"/>
    <w:rsid w:val="00382AD6"/>
    <w:rsid w:val="003A1C33"/>
    <w:rsid w:val="003A506D"/>
    <w:rsid w:val="003B4EF7"/>
    <w:rsid w:val="003D4301"/>
    <w:rsid w:val="003F4250"/>
    <w:rsid w:val="00402E35"/>
    <w:rsid w:val="00420F62"/>
    <w:rsid w:val="0042427D"/>
    <w:rsid w:val="00424B68"/>
    <w:rsid w:val="00425F71"/>
    <w:rsid w:val="00440CD3"/>
    <w:rsid w:val="004B10EA"/>
    <w:rsid w:val="004C5DF5"/>
    <w:rsid w:val="00500C62"/>
    <w:rsid w:val="00531085"/>
    <w:rsid w:val="00585DF1"/>
    <w:rsid w:val="005C4084"/>
    <w:rsid w:val="00681EC1"/>
    <w:rsid w:val="006A0E32"/>
    <w:rsid w:val="006A6C09"/>
    <w:rsid w:val="006E0CA5"/>
    <w:rsid w:val="007538D2"/>
    <w:rsid w:val="007C1B61"/>
    <w:rsid w:val="007C7B6B"/>
    <w:rsid w:val="00804217"/>
    <w:rsid w:val="00891DE8"/>
    <w:rsid w:val="008A56AA"/>
    <w:rsid w:val="008C4790"/>
    <w:rsid w:val="008E47F8"/>
    <w:rsid w:val="008E722D"/>
    <w:rsid w:val="00912AE3"/>
    <w:rsid w:val="00967BAC"/>
    <w:rsid w:val="009923F0"/>
    <w:rsid w:val="00A06CA8"/>
    <w:rsid w:val="00A16883"/>
    <w:rsid w:val="00A342F4"/>
    <w:rsid w:val="00A5676B"/>
    <w:rsid w:val="00A652FE"/>
    <w:rsid w:val="00A8203D"/>
    <w:rsid w:val="00A84BD8"/>
    <w:rsid w:val="00A903AE"/>
    <w:rsid w:val="00AE53F1"/>
    <w:rsid w:val="00B209A1"/>
    <w:rsid w:val="00B35D66"/>
    <w:rsid w:val="00B371CF"/>
    <w:rsid w:val="00B71D11"/>
    <w:rsid w:val="00C228CA"/>
    <w:rsid w:val="00C45174"/>
    <w:rsid w:val="00CA2383"/>
    <w:rsid w:val="00CE77ED"/>
    <w:rsid w:val="00CF32BD"/>
    <w:rsid w:val="00D06042"/>
    <w:rsid w:val="00D2251B"/>
    <w:rsid w:val="00D359DA"/>
    <w:rsid w:val="00D41775"/>
    <w:rsid w:val="00D677CE"/>
    <w:rsid w:val="00D851D4"/>
    <w:rsid w:val="00D9482F"/>
    <w:rsid w:val="00DB578C"/>
    <w:rsid w:val="00DC2068"/>
    <w:rsid w:val="00DC53E8"/>
    <w:rsid w:val="00E06455"/>
    <w:rsid w:val="00E422BA"/>
    <w:rsid w:val="00E505D7"/>
    <w:rsid w:val="00E76570"/>
    <w:rsid w:val="00EB1F07"/>
    <w:rsid w:val="00EC6BF9"/>
    <w:rsid w:val="00ED747F"/>
    <w:rsid w:val="00F53EA4"/>
    <w:rsid w:val="00F73870"/>
    <w:rsid w:val="00F808CF"/>
    <w:rsid w:val="00F92278"/>
    <w:rsid w:val="00FC1776"/>
    <w:rsid w:val="00FE0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D68D"/>
  <w15:chartTrackingRefBased/>
  <w15:docId w15:val="{E92E3DA4-3DF1-478C-B05B-6C190CCA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DF5"/>
    <w:rPr>
      <w:rFonts w:eastAsiaTheme="majorEastAsia" w:cstheme="majorBidi"/>
      <w:color w:val="272727" w:themeColor="text1" w:themeTint="D8"/>
    </w:rPr>
  </w:style>
  <w:style w:type="paragraph" w:styleId="Title">
    <w:name w:val="Title"/>
    <w:basedOn w:val="Normal"/>
    <w:next w:val="Normal"/>
    <w:link w:val="TitleChar"/>
    <w:uiPriority w:val="10"/>
    <w:qFormat/>
    <w:rsid w:val="004C5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DF5"/>
    <w:pPr>
      <w:spacing w:before="160"/>
      <w:jc w:val="center"/>
    </w:pPr>
    <w:rPr>
      <w:i/>
      <w:iCs/>
      <w:color w:val="404040" w:themeColor="text1" w:themeTint="BF"/>
    </w:rPr>
  </w:style>
  <w:style w:type="character" w:customStyle="1" w:styleId="QuoteChar">
    <w:name w:val="Quote Char"/>
    <w:basedOn w:val="DefaultParagraphFont"/>
    <w:link w:val="Quote"/>
    <w:uiPriority w:val="29"/>
    <w:rsid w:val="004C5DF5"/>
    <w:rPr>
      <w:i/>
      <w:iCs/>
      <w:color w:val="404040" w:themeColor="text1" w:themeTint="BF"/>
    </w:rPr>
  </w:style>
  <w:style w:type="paragraph" w:styleId="ListParagraph">
    <w:name w:val="List Paragraph"/>
    <w:basedOn w:val="Normal"/>
    <w:uiPriority w:val="34"/>
    <w:qFormat/>
    <w:rsid w:val="004C5DF5"/>
    <w:pPr>
      <w:ind w:left="720"/>
      <w:contextualSpacing/>
    </w:pPr>
  </w:style>
  <w:style w:type="character" w:styleId="IntenseEmphasis">
    <w:name w:val="Intense Emphasis"/>
    <w:basedOn w:val="DefaultParagraphFont"/>
    <w:uiPriority w:val="21"/>
    <w:qFormat/>
    <w:rsid w:val="004C5DF5"/>
    <w:rPr>
      <w:i/>
      <w:iCs/>
      <w:color w:val="0F4761" w:themeColor="accent1" w:themeShade="BF"/>
    </w:rPr>
  </w:style>
  <w:style w:type="paragraph" w:styleId="IntenseQuote">
    <w:name w:val="Intense Quote"/>
    <w:basedOn w:val="Normal"/>
    <w:next w:val="Normal"/>
    <w:link w:val="IntenseQuoteChar"/>
    <w:uiPriority w:val="30"/>
    <w:qFormat/>
    <w:rsid w:val="004C5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DF5"/>
    <w:rPr>
      <w:i/>
      <w:iCs/>
      <w:color w:val="0F4761" w:themeColor="accent1" w:themeShade="BF"/>
    </w:rPr>
  </w:style>
  <w:style w:type="character" w:styleId="IntenseReference">
    <w:name w:val="Intense Reference"/>
    <w:basedOn w:val="DefaultParagraphFont"/>
    <w:uiPriority w:val="32"/>
    <w:qFormat/>
    <w:rsid w:val="004C5DF5"/>
    <w:rPr>
      <w:b/>
      <w:bCs/>
      <w:smallCaps/>
      <w:color w:val="0F4761" w:themeColor="accent1" w:themeShade="BF"/>
      <w:spacing w:val="5"/>
    </w:rPr>
  </w:style>
  <w:style w:type="paragraph" w:customStyle="1" w:styleId="Default">
    <w:name w:val="Default"/>
    <w:rsid w:val="007C7B6B"/>
    <w:pPr>
      <w:autoSpaceDE w:val="0"/>
      <w:autoSpaceDN w:val="0"/>
      <w:adjustRightInd w:val="0"/>
      <w:spacing w:after="0" w:line="240" w:lineRule="auto"/>
    </w:pPr>
    <w:rPr>
      <w:rFonts w:ascii="WintershallDea Office" w:hAnsi="WintershallDea Office" w:cs="WintershallDea Office"/>
      <w:color w:val="000000"/>
      <w:kern w:val="0"/>
    </w:rPr>
  </w:style>
  <w:style w:type="paragraph" w:styleId="Revision">
    <w:name w:val="Revision"/>
    <w:hidden/>
    <w:uiPriority w:val="99"/>
    <w:semiHidden/>
    <w:rsid w:val="00D06042"/>
    <w:pPr>
      <w:spacing w:after="0" w:line="240" w:lineRule="auto"/>
    </w:pPr>
  </w:style>
  <w:style w:type="character" w:styleId="CommentReference">
    <w:name w:val="annotation reference"/>
    <w:basedOn w:val="DefaultParagraphFont"/>
    <w:uiPriority w:val="99"/>
    <w:semiHidden/>
    <w:unhideWhenUsed/>
    <w:rsid w:val="00500C62"/>
    <w:rPr>
      <w:sz w:val="16"/>
      <w:szCs w:val="16"/>
    </w:rPr>
  </w:style>
  <w:style w:type="paragraph" w:styleId="CommentText">
    <w:name w:val="annotation text"/>
    <w:basedOn w:val="Normal"/>
    <w:link w:val="CommentTextChar"/>
    <w:uiPriority w:val="99"/>
    <w:unhideWhenUsed/>
    <w:rsid w:val="00500C62"/>
    <w:pPr>
      <w:spacing w:line="240" w:lineRule="auto"/>
    </w:pPr>
    <w:rPr>
      <w:sz w:val="20"/>
      <w:szCs w:val="20"/>
    </w:rPr>
  </w:style>
  <w:style w:type="character" w:customStyle="1" w:styleId="CommentTextChar">
    <w:name w:val="Comment Text Char"/>
    <w:basedOn w:val="DefaultParagraphFont"/>
    <w:link w:val="CommentText"/>
    <w:uiPriority w:val="99"/>
    <w:rsid w:val="00500C62"/>
    <w:rPr>
      <w:sz w:val="20"/>
      <w:szCs w:val="20"/>
    </w:rPr>
  </w:style>
  <w:style w:type="paragraph" w:styleId="CommentSubject">
    <w:name w:val="annotation subject"/>
    <w:basedOn w:val="CommentText"/>
    <w:next w:val="CommentText"/>
    <w:link w:val="CommentSubjectChar"/>
    <w:uiPriority w:val="99"/>
    <w:semiHidden/>
    <w:unhideWhenUsed/>
    <w:rsid w:val="00500C62"/>
    <w:rPr>
      <w:b/>
      <w:bCs/>
    </w:rPr>
  </w:style>
  <w:style w:type="character" w:customStyle="1" w:styleId="CommentSubjectChar">
    <w:name w:val="Comment Subject Char"/>
    <w:basedOn w:val="CommentTextChar"/>
    <w:link w:val="CommentSubject"/>
    <w:uiPriority w:val="99"/>
    <w:semiHidden/>
    <w:rsid w:val="00500C62"/>
    <w:rPr>
      <w:b/>
      <w:bCs/>
      <w:sz w:val="20"/>
      <w:szCs w:val="20"/>
    </w:rPr>
  </w:style>
  <w:style w:type="character" w:styleId="Hyperlink">
    <w:name w:val="Hyperlink"/>
    <w:basedOn w:val="DefaultParagraphFont"/>
    <w:uiPriority w:val="99"/>
    <w:unhideWhenUsed/>
    <w:rsid w:val="00DC2068"/>
    <w:rPr>
      <w:color w:val="467886" w:themeColor="hyperlink"/>
      <w:u w:val="single"/>
    </w:rPr>
  </w:style>
  <w:style w:type="character" w:styleId="UnresolvedMention">
    <w:name w:val="Unresolved Mention"/>
    <w:basedOn w:val="DefaultParagraphFont"/>
    <w:uiPriority w:val="99"/>
    <w:semiHidden/>
    <w:unhideWhenUsed/>
    <w:rsid w:val="00DC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63001">
      <w:bodyDiv w:val="1"/>
      <w:marLeft w:val="0"/>
      <w:marRight w:val="0"/>
      <w:marTop w:val="0"/>
      <w:marBottom w:val="0"/>
      <w:divBdr>
        <w:top w:val="none" w:sz="0" w:space="0" w:color="auto"/>
        <w:left w:val="none" w:sz="0" w:space="0" w:color="auto"/>
        <w:bottom w:val="none" w:sz="0" w:space="0" w:color="auto"/>
        <w:right w:val="none" w:sz="0" w:space="0" w:color="auto"/>
      </w:divBdr>
    </w:div>
    <w:div w:id="13633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rbourener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10A8-DAA4-4C0B-9393-29EB4ED0BBCC}">
  <ds:schemaRefs>
    <ds:schemaRef ds:uri="http://schemas.openxmlformats.org/officeDocument/2006/bibliography"/>
  </ds:schemaRefs>
</ds:datastoreItem>
</file>

<file path=docMetadata/LabelInfo.xml><?xml version="1.0" encoding="utf-8"?>
<clbl:labelList xmlns:clbl="http://schemas.microsoft.com/office/2020/mipLabelMetadata">
  <clbl:label id="{77b89f9e-cf5c-4c4c-af28-7a4de6f60b90}" enabled="0" method="" siteId="{77b89f9e-cf5c-4c4c-af28-7a4de6f60b90}"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2766</Characters>
  <Application>Microsoft Office Word</Application>
  <DocSecurity>4</DocSecurity>
  <Lines>76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nicolas.pringault@wintershalldea.com</dc:creator>
  <cp:keywords/>
  <dc:description/>
  <cp:lastModifiedBy>Tom Doherty</cp:lastModifiedBy>
  <cp:revision>2</cp:revision>
  <dcterms:created xsi:type="dcterms:W3CDTF">2026-01-29T13:32:00Z</dcterms:created>
  <dcterms:modified xsi:type="dcterms:W3CDTF">2026-01-29T13:32:00Z</dcterms:modified>
</cp:coreProperties>
</file>