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C09D" w14:textId="77777777" w:rsidR="00BC2480" w:rsidRPr="00494DEB" w:rsidRDefault="00BC2480" w:rsidP="00BC2480">
      <w:pPr>
        <w:spacing w:line="288" w:lineRule="auto"/>
        <w:contextualSpacing/>
        <w:jc w:val="center"/>
        <w:rPr>
          <w:rFonts w:eastAsia="Times New Roman" w:cstheme="minorHAnsi"/>
          <w:b/>
          <w:bCs/>
          <w:sz w:val="28"/>
          <w:szCs w:val="28"/>
        </w:rPr>
      </w:pPr>
      <w:r w:rsidRPr="00494DEB">
        <w:rPr>
          <w:rFonts w:eastAsia="Times New Roman" w:cstheme="minorHAnsi"/>
          <w:b/>
          <w:bCs/>
          <w:sz w:val="28"/>
          <w:szCs w:val="28"/>
        </w:rPr>
        <w:t>Under the Patronage of President El-Sisi and with the Support of the Ministry of Youth and Sports</w:t>
      </w:r>
    </w:p>
    <w:p w14:paraId="4C8813E9" w14:textId="57A36C9D" w:rsidR="00BC2480" w:rsidRPr="00494DEB" w:rsidRDefault="00BC2480" w:rsidP="00BC2480">
      <w:pPr>
        <w:spacing w:line="288" w:lineRule="auto"/>
        <w:contextualSpacing/>
        <w:jc w:val="center"/>
        <w:rPr>
          <w:rFonts w:eastAsia="Times New Roman" w:cstheme="minorHAnsi"/>
          <w:sz w:val="22"/>
          <w:szCs w:val="22"/>
        </w:rPr>
      </w:pPr>
      <w:r w:rsidRPr="00494DEB">
        <w:rPr>
          <w:rFonts w:eastAsia="Times New Roman" w:cstheme="minorHAnsi"/>
          <w:sz w:val="22"/>
          <w:szCs w:val="22"/>
        </w:rPr>
        <w:t xml:space="preserve">The 11th Edition of the TotalEnergies Youth </w:t>
      </w:r>
      <w:proofErr w:type="spellStart"/>
      <w:r w:rsidRPr="00494DEB">
        <w:rPr>
          <w:rFonts w:eastAsia="Times New Roman" w:cstheme="minorHAnsi"/>
          <w:sz w:val="22"/>
          <w:szCs w:val="22"/>
        </w:rPr>
        <w:t>Centers</w:t>
      </w:r>
      <w:proofErr w:type="spellEnd"/>
      <w:r w:rsidRPr="00494DEB">
        <w:rPr>
          <w:rFonts w:eastAsia="Times New Roman" w:cstheme="minorHAnsi"/>
          <w:sz w:val="22"/>
          <w:szCs w:val="22"/>
        </w:rPr>
        <w:t xml:space="preserve"> League 2025-2026 Launches to Foster Spirit of Challenge and Belonging</w:t>
      </w:r>
    </w:p>
    <w:p w14:paraId="1B70B96C" w14:textId="39E09802" w:rsidR="00BC2480" w:rsidRPr="00494DEB" w:rsidRDefault="00BC2480" w:rsidP="00BC2480">
      <w:pPr>
        <w:spacing w:line="288" w:lineRule="auto"/>
        <w:contextualSpacing/>
        <w:jc w:val="center"/>
        <w:rPr>
          <w:rFonts w:eastAsia="Times New Roman" w:cstheme="minorHAnsi"/>
          <w:sz w:val="22"/>
          <w:szCs w:val="22"/>
        </w:rPr>
      </w:pPr>
      <w:r w:rsidRPr="00494DEB">
        <w:rPr>
          <w:rFonts w:eastAsia="Times New Roman" w:cstheme="minorHAnsi"/>
          <w:sz w:val="22"/>
          <w:szCs w:val="22"/>
        </w:rPr>
        <w:t xml:space="preserve">Minister of Youth and </w:t>
      </w:r>
      <w:r w:rsidR="002D41DE" w:rsidRPr="00494DEB">
        <w:rPr>
          <w:rFonts w:eastAsia="Times New Roman" w:cstheme="minorHAnsi"/>
          <w:sz w:val="22"/>
          <w:szCs w:val="22"/>
        </w:rPr>
        <w:t>Sports:</w:t>
      </w:r>
      <w:r w:rsidRPr="00494DEB">
        <w:rPr>
          <w:rFonts w:eastAsia="Times New Roman" w:cstheme="minorHAnsi"/>
          <w:sz w:val="22"/>
          <w:szCs w:val="22"/>
        </w:rPr>
        <w:t xml:space="preserve"> President El-Sisi’s patronage reflects the state’s commitment to supporting talents and expanding the base of sports practitioners</w:t>
      </w:r>
    </w:p>
    <w:p w14:paraId="4E862DAA" w14:textId="7D44845A" w:rsidR="00BC2480" w:rsidRPr="00494DEB" w:rsidRDefault="00BC2480" w:rsidP="00BC2480">
      <w:pPr>
        <w:spacing w:line="288" w:lineRule="auto"/>
        <w:contextualSpacing/>
        <w:jc w:val="center"/>
        <w:rPr>
          <w:rFonts w:eastAsia="Times New Roman" w:cstheme="minorHAnsi"/>
          <w:sz w:val="22"/>
          <w:szCs w:val="22"/>
        </w:rPr>
      </w:pPr>
      <w:r w:rsidRPr="00494DEB">
        <w:rPr>
          <w:rFonts w:eastAsia="Times New Roman" w:cstheme="minorHAnsi"/>
          <w:sz w:val="22"/>
          <w:szCs w:val="22"/>
        </w:rPr>
        <w:t xml:space="preserve">Mutaz Nazzal: Our sponsorship of the Youth </w:t>
      </w:r>
      <w:proofErr w:type="spellStart"/>
      <w:r w:rsidRPr="00494DEB">
        <w:rPr>
          <w:rFonts w:eastAsia="Times New Roman" w:cstheme="minorHAnsi"/>
          <w:sz w:val="22"/>
          <w:szCs w:val="22"/>
        </w:rPr>
        <w:t>Centers</w:t>
      </w:r>
      <w:proofErr w:type="spellEnd"/>
      <w:r w:rsidRPr="00494DEB">
        <w:rPr>
          <w:rFonts w:eastAsia="Times New Roman" w:cstheme="minorHAnsi"/>
          <w:sz w:val="22"/>
          <w:szCs w:val="22"/>
        </w:rPr>
        <w:t xml:space="preserve"> League embodies TotalEnergies’ vision to invest in youth potential</w:t>
      </w:r>
    </w:p>
    <w:p w14:paraId="48967731" w14:textId="77777777" w:rsidR="002D41DE" w:rsidRPr="00494DEB" w:rsidRDefault="002D41DE" w:rsidP="00BC2480">
      <w:pPr>
        <w:spacing w:line="288" w:lineRule="auto"/>
        <w:contextualSpacing/>
        <w:jc w:val="center"/>
        <w:rPr>
          <w:rFonts w:eastAsia="Times New Roman" w:cstheme="minorHAnsi"/>
          <w:sz w:val="22"/>
          <w:szCs w:val="22"/>
        </w:rPr>
      </w:pPr>
    </w:p>
    <w:p w14:paraId="11A08CFE" w14:textId="05630D18" w:rsidR="002D41DE" w:rsidRDefault="00BC2480" w:rsidP="00494DEB">
      <w:pPr>
        <w:spacing w:line="288" w:lineRule="auto"/>
        <w:contextualSpacing/>
        <w:jc w:val="left"/>
        <w:rPr>
          <w:rFonts w:eastAsia="Times New Roman" w:cstheme="minorHAnsi"/>
          <w:sz w:val="24"/>
          <w:szCs w:val="24"/>
        </w:rPr>
      </w:pPr>
      <w:r w:rsidRPr="00494DEB">
        <w:rPr>
          <w:rFonts w:eastAsia="Times New Roman" w:cstheme="minorHAnsi"/>
          <w:b/>
          <w:bCs/>
          <w:sz w:val="24"/>
          <w:szCs w:val="24"/>
        </w:rPr>
        <w:t xml:space="preserve">Cairo, November 19, </w:t>
      </w:r>
      <w:r w:rsidR="002D41DE" w:rsidRPr="00494DEB">
        <w:rPr>
          <w:rFonts w:eastAsia="Times New Roman" w:cstheme="minorHAnsi"/>
          <w:b/>
          <w:bCs/>
          <w:sz w:val="24"/>
          <w:szCs w:val="24"/>
        </w:rPr>
        <w:t>2025</w:t>
      </w:r>
      <w:r w:rsidR="002D41DE" w:rsidRPr="00494DEB">
        <w:rPr>
          <w:rFonts w:eastAsia="Times New Roman" w:cstheme="minorHAnsi"/>
          <w:sz w:val="24"/>
          <w:szCs w:val="24"/>
        </w:rPr>
        <w:t>, Under</w:t>
      </w:r>
      <w:r w:rsidRPr="00494DEB">
        <w:rPr>
          <w:rFonts w:eastAsia="Times New Roman" w:cstheme="minorHAnsi"/>
          <w:sz w:val="24"/>
          <w:szCs w:val="24"/>
        </w:rPr>
        <w:t xml:space="preserve"> the patronage of President Abdel Fattah El-Sisi and with the support of the Ministry of Youth and Sports, TotalEnergies Marketing Egypt announced the launch of the 11th edition of the TotalEnergies Youth </w:t>
      </w:r>
      <w:proofErr w:type="spellStart"/>
      <w:r w:rsidRPr="00494DEB">
        <w:rPr>
          <w:rFonts w:eastAsia="Times New Roman" w:cstheme="minorHAnsi"/>
          <w:sz w:val="24"/>
          <w:szCs w:val="24"/>
        </w:rPr>
        <w:t>Centers</w:t>
      </w:r>
      <w:proofErr w:type="spellEnd"/>
      <w:r w:rsidRPr="00494DEB">
        <w:rPr>
          <w:rFonts w:eastAsia="Times New Roman" w:cstheme="minorHAnsi"/>
          <w:sz w:val="24"/>
          <w:szCs w:val="24"/>
        </w:rPr>
        <w:t xml:space="preserve"> League 2025-2026 during a press conference held </w:t>
      </w:r>
      <w:r w:rsidR="002D41DE" w:rsidRPr="00494DEB">
        <w:rPr>
          <w:rFonts w:eastAsia="Times New Roman" w:cstheme="minorHAnsi"/>
          <w:sz w:val="24"/>
          <w:szCs w:val="24"/>
        </w:rPr>
        <w:t>today</w:t>
      </w:r>
      <w:r w:rsidRPr="00494DEB">
        <w:rPr>
          <w:rFonts w:eastAsia="Times New Roman" w:cstheme="minorHAnsi"/>
          <w:sz w:val="24"/>
          <w:szCs w:val="24"/>
        </w:rPr>
        <w:t>.</w:t>
      </w:r>
    </w:p>
    <w:p w14:paraId="43FA06EB" w14:textId="77777777" w:rsidR="00494DEB" w:rsidRPr="00494DEB" w:rsidRDefault="00494DEB" w:rsidP="00494DEB">
      <w:pPr>
        <w:spacing w:line="288" w:lineRule="auto"/>
        <w:contextualSpacing/>
        <w:jc w:val="left"/>
        <w:rPr>
          <w:rFonts w:eastAsia="Times New Roman" w:cstheme="minorHAnsi"/>
          <w:sz w:val="24"/>
          <w:szCs w:val="24"/>
        </w:rPr>
      </w:pPr>
    </w:p>
    <w:p w14:paraId="71FFBABC" w14:textId="574D987B" w:rsidR="00BC2480" w:rsidRPr="00494DEB" w:rsidRDefault="00BC2480" w:rsidP="002D41DE">
      <w:pPr>
        <w:spacing w:line="288" w:lineRule="auto"/>
        <w:contextualSpacing/>
        <w:jc w:val="left"/>
        <w:rPr>
          <w:rFonts w:eastAsia="Times New Roman" w:cstheme="minorHAnsi"/>
          <w:sz w:val="24"/>
          <w:szCs w:val="24"/>
        </w:rPr>
      </w:pPr>
      <w:r w:rsidRPr="00494DEB">
        <w:rPr>
          <w:rFonts w:eastAsia="Times New Roman" w:cstheme="minorHAnsi"/>
          <w:sz w:val="24"/>
          <w:szCs w:val="24"/>
        </w:rPr>
        <w:t>The event was attended by Dr. Ashraf Sobhy, Minister of Youth and Sports, Mr. M</w:t>
      </w:r>
      <w:r w:rsidR="00063194" w:rsidRPr="00494DEB">
        <w:rPr>
          <w:rFonts w:eastAsia="Times New Roman" w:cstheme="minorHAnsi"/>
          <w:sz w:val="24"/>
          <w:szCs w:val="24"/>
        </w:rPr>
        <w:t>u</w:t>
      </w:r>
      <w:r w:rsidRPr="00494DEB">
        <w:rPr>
          <w:rFonts w:eastAsia="Times New Roman" w:cstheme="minorHAnsi"/>
          <w:sz w:val="24"/>
          <w:szCs w:val="24"/>
        </w:rPr>
        <w:t xml:space="preserve">taz Nazzal, </w:t>
      </w:r>
      <w:r w:rsidR="00063194" w:rsidRPr="00494DEB">
        <w:rPr>
          <w:rFonts w:eastAsia="Times New Roman" w:cstheme="minorHAnsi"/>
          <w:sz w:val="24"/>
          <w:szCs w:val="24"/>
        </w:rPr>
        <w:t>Managing Director</w:t>
      </w:r>
      <w:r w:rsidRPr="00494DEB">
        <w:rPr>
          <w:rFonts w:eastAsia="Times New Roman" w:cstheme="minorHAnsi"/>
          <w:sz w:val="24"/>
          <w:szCs w:val="24"/>
        </w:rPr>
        <w:t xml:space="preserve"> of TotalEnergies Marketing Egypt, alongside a distinguished group of public figures, sports and media personalities, and senior officials from the Ministry and the company.</w:t>
      </w:r>
    </w:p>
    <w:p w14:paraId="43324F83" w14:textId="77777777" w:rsidR="00063194" w:rsidRPr="00494DEB" w:rsidRDefault="00063194" w:rsidP="00BC2480">
      <w:pPr>
        <w:spacing w:line="288" w:lineRule="auto"/>
        <w:contextualSpacing/>
        <w:jc w:val="left"/>
        <w:rPr>
          <w:rFonts w:eastAsia="Times New Roman" w:cstheme="minorHAnsi"/>
          <w:sz w:val="24"/>
          <w:szCs w:val="24"/>
        </w:rPr>
      </w:pPr>
    </w:p>
    <w:p w14:paraId="272E637A" w14:textId="0182381E" w:rsidR="00BC2480" w:rsidRPr="00494DEB" w:rsidRDefault="00494DEB" w:rsidP="00BC2480">
      <w:pPr>
        <w:spacing w:line="288" w:lineRule="auto"/>
        <w:contextualSpacing/>
        <w:jc w:val="left"/>
        <w:rPr>
          <w:rFonts w:eastAsia="Times New Roman" w:cstheme="minorHAnsi"/>
          <w:sz w:val="24"/>
          <w:szCs w:val="24"/>
        </w:rPr>
      </w:pPr>
      <w:r w:rsidRPr="00494DEB">
        <w:rPr>
          <w:rFonts w:eastAsia="Times New Roman" w:cstheme="minorHAnsi"/>
          <w:sz w:val="24"/>
          <w:szCs w:val="24"/>
        </w:rPr>
        <w:t xml:space="preserve">Dr. Ashraf Sobhy, Minister of Youth and Sports, emphasized that holding the 11th edition of the Youth </w:t>
      </w:r>
      <w:proofErr w:type="spellStart"/>
      <w:r w:rsidRPr="00494DEB">
        <w:rPr>
          <w:rFonts w:eastAsia="Times New Roman" w:cstheme="minorHAnsi"/>
          <w:sz w:val="24"/>
          <w:szCs w:val="24"/>
        </w:rPr>
        <w:t>Centers</w:t>
      </w:r>
      <w:proofErr w:type="spellEnd"/>
      <w:r w:rsidRPr="00494DEB">
        <w:rPr>
          <w:rFonts w:eastAsia="Times New Roman" w:cstheme="minorHAnsi"/>
          <w:sz w:val="24"/>
          <w:szCs w:val="24"/>
        </w:rPr>
        <w:t xml:space="preserve"> League under the patronage of President Abdel Fattah El-Sisi </w:t>
      </w:r>
      <w:r w:rsidR="00BC2480" w:rsidRPr="00494DEB">
        <w:rPr>
          <w:rFonts w:eastAsia="Times New Roman" w:cstheme="minorHAnsi"/>
          <w:sz w:val="24"/>
          <w:szCs w:val="24"/>
        </w:rPr>
        <w:t xml:space="preserve">reflects the state’s dedication to supporting youth and developing their capabilities across multiple fields. He highlighted that the league serves as a vital platform for discovering football talents, spreading the culture of sports participation, and attracting youth to engage in diverse activities within youth </w:t>
      </w:r>
      <w:proofErr w:type="spellStart"/>
      <w:r w:rsidR="00BC2480" w:rsidRPr="00494DEB">
        <w:rPr>
          <w:rFonts w:eastAsia="Times New Roman" w:cstheme="minorHAnsi"/>
          <w:sz w:val="24"/>
          <w:szCs w:val="24"/>
        </w:rPr>
        <w:t>centers</w:t>
      </w:r>
      <w:proofErr w:type="spellEnd"/>
      <w:r w:rsidR="00BC2480" w:rsidRPr="00494DEB">
        <w:rPr>
          <w:rFonts w:eastAsia="Times New Roman" w:cstheme="minorHAnsi"/>
          <w:sz w:val="24"/>
          <w:szCs w:val="24"/>
        </w:rPr>
        <w:t>. He noted that the success of the 10th edition was a result of the Egyptian government’s efforts to enhance sports and youth development.</w:t>
      </w:r>
    </w:p>
    <w:p w14:paraId="1DC8BD1D" w14:textId="77777777" w:rsidR="00063194" w:rsidRPr="00494DEB" w:rsidRDefault="00063194" w:rsidP="00BC2480">
      <w:pPr>
        <w:spacing w:line="288" w:lineRule="auto"/>
        <w:contextualSpacing/>
        <w:jc w:val="left"/>
        <w:rPr>
          <w:rFonts w:eastAsia="Times New Roman" w:cstheme="minorHAnsi"/>
          <w:sz w:val="24"/>
          <w:szCs w:val="24"/>
        </w:rPr>
      </w:pPr>
    </w:p>
    <w:p w14:paraId="39AB0408" w14:textId="390BBADB" w:rsidR="00BC2480" w:rsidRPr="00494DEB" w:rsidRDefault="00BC2480" w:rsidP="00BC2480">
      <w:pPr>
        <w:spacing w:line="288" w:lineRule="auto"/>
        <w:contextualSpacing/>
        <w:jc w:val="left"/>
        <w:rPr>
          <w:rFonts w:eastAsia="Times New Roman" w:cstheme="minorHAnsi"/>
          <w:sz w:val="24"/>
          <w:szCs w:val="24"/>
        </w:rPr>
      </w:pPr>
      <w:r w:rsidRPr="00494DEB">
        <w:rPr>
          <w:rFonts w:eastAsia="Times New Roman" w:cstheme="minorHAnsi"/>
          <w:sz w:val="24"/>
          <w:szCs w:val="24"/>
        </w:rPr>
        <w:t xml:space="preserve">The Minister expressed his appreciation for TotalEnergies’ continuous support of such initiatives that contribute to building a conscious and qualified sports generation. He affirmed the Ministry’s commitment to providing all necessary resources to ensure the league’s success, in line with the political leadership’s directives to expand the base of sports practitioners and discover promising talents in coordination with technical bodies and youth and sports directorates in the governorates. He also described the Youth </w:t>
      </w:r>
      <w:proofErr w:type="spellStart"/>
      <w:r w:rsidRPr="00494DEB">
        <w:rPr>
          <w:rFonts w:eastAsia="Times New Roman" w:cstheme="minorHAnsi"/>
          <w:sz w:val="24"/>
          <w:szCs w:val="24"/>
        </w:rPr>
        <w:t>Centers</w:t>
      </w:r>
      <w:proofErr w:type="spellEnd"/>
      <w:r w:rsidRPr="00494DEB">
        <w:rPr>
          <w:rFonts w:eastAsia="Times New Roman" w:cstheme="minorHAnsi"/>
          <w:sz w:val="24"/>
          <w:szCs w:val="24"/>
        </w:rPr>
        <w:t xml:space="preserve"> Football League as one of the largest projects implemented by the Ministry to promote sports participation and intensify activities within youth </w:t>
      </w:r>
      <w:proofErr w:type="spellStart"/>
      <w:r w:rsidRPr="00494DEB">
        <w:rPr>
          <w:rFonts w:eastAsia="Times New Roman" w:cstheme="minorHAnsi"/>
          <w:sz w:val="24"/>
          <w:szCs w:val="24"/>
        </w:rPr>
        <w:t>centers</w:t>
      </w:r>
      <w:proofErr w:type="spellEnd"/>
      <w:r w:rsidRPr="00494DEB">
        <w:rPr>
          <w:rFonts w:eastAsia="Times New Roman" w:cstheme="minorHAnsi"/>
          <w:sz w:val="24"/>
          <w:szCs w:val="24"/>
        </w:rPr>
        <w:t>, achieving the goals of comprehensive sports upbringing for youth. Furthermore, he stressed the importance of adhering to educational values and league regulations, and applying necessary procedures to guarantee the smooth running of the tournament.</w:t>
      </w:r>
    </w:p>
    <w:p w14:paraId="120C3BAD" w14:textId="77777777" w:rsidR="00063194" w:rsidRPr="00494DEB" w:rsidRDefault="00063194" w:rsidP="00BC2480">
      <w:pPr>
        <w:spacing w:line="288" w:lineRule="auto"/>
        <w:contextualSpacing/>
        <w:jc w:val="left"/>
        <w:rPr>
          <w:rFonts w:eastAsia="Times New Roman" w:cstheme="minorHAnsi"/>
          <w:sz w:val="24"/>
          <w:szCs w:val="24"/>
        </w:rPr>
      </w:pPr>
    </w:p>
    <w:p w14:paraId="70C67009" w14:textId="676A23EE" w:rsidR="00BC2480" w:rsidRPr="00494DEB" w:rsidRDefault="00BC2480" w:rsidP="00BC2480">
      <w:pPr>
        <w:spacing w:line="288" w:lineRule="auto"/>
        <w:contextualSpacing/>
        <w:jc w:val="left"/>
        <w:rPr>
          <w:rFonts w:eastAsia="Times New Roman" w:cstheme="minorHAnsi"/>
          <w:sz w:val="24"/>
          <w:szCs w:val="24"/>
        </w:rPr>
      </w:pPr>
      <w:r w:rsidRPr="00494DEB">
        <w:rPr>
          <w:rFonts w:eastAsia="Times New Roman" w:cstheme="minorHAnsi"/>
          <w:sz w:val="24"/>
          <w:szCs w:val="24"/>
        </w:rPr>
        <w:lastRenderedPageBreak/>
        <w:t>Mr. M</w:t>
      </w:r>
      <w:r w:rsidR="00063194" w:rsidRPr="00494DEB">
        <w:rPr>
          <w:rFonts w:eastAsia="Times New Roman" w:cstheme="minorHAnsi"/>
          <w:sz w:val="24"/>
          <w:szCs w:val="24"/>
        </w:rPr>
        <w:t>u</w:t>
      </w:r>
      <w:r w:rsidRPr="00494DEB">
        <w:rPr>
          <w:rFonts w:eastAsia="Times New Roman" w:cstheme="minorHAnsi"/>
          <w:sz w:val="24"/>
          <w:szCs w:val="24"/>
        </w:rPr>
        <w:t xml:space="preserve">taz Nazzal, </w:t>
      </w:r>
      <w:r w:rsidR="00063194" w:rsidRPr="00494DEB">
        <w:rPr>
          <w:rFonts w:eastAsia="Times New Roman" w:cstheme="minorHAnsi"/>
          <w:sz w:val="24"/>
          <w:szCs w:val="24"/>
        </w:rPr>
        <w:t>Managing Director</w:t>
      </w:r>
      <w:r w:rsidRPr="00494DEB">
        <w:rPr>
          <w:rFonts w:eastAsia="Times New Roman" w:cstheme="minorHAnsi"/>
          <w:sz w:val="24"/>
          <w:szCs w:val="24"/>
        </w:rPr>
        <w:t xml:space="preserve"> of TotalEnergies Marketing Egypt, expressed his deep appreciation to the Minister of Youth and Sports for his ongoing support. He pointed out that the cooperation between the company and the Ministry reflects the integration between the public and private sectors in supporting Egypt’s sustainable development efforts. He added that TotalEnergies’ sponsorship of the Youth </w:t>
      </w:r>
      <w:proofErr w:type="spellStart"/>
      <w:r w:rsidRPr="00494DEB">
        <w:rPr>
          <w:rFonts w:eastAsia="Times New Roman" w:cstheme="minorHAnsi"/>
          <w:sz w:val="24"/>
          <w:szCs w:val="24"/>
        </w:rPr>
        <w:t>Centers</w:t>
      </w:r>
      <w:proofErr w:type="spellEnd"/>
      <w:r w:rsidRPr="00494DEB">
        <w:rPr>
          <w:rFonts w:eastAsia="Times New Roman" w:cstheme="minorHAnsi"/>
          <w:sz w:val="24"/>
          <w:szCs w:val="24"/>
        </w:rPr>
        <w:t xml:space="preserve"> League aligns with the company’s commitment to supporting youth and sports, encouraging active participation, and fostering a spirit of positive competition. He also confirmed the company’s readiness to continue supporting future sports and social initiatives and projects.</w:t>
      </w:r>
    </w:p>
    <w:p w14:paraId="6DF14377" w14:textId="77777777" w:rsidR="00063194" w:rsidRPr="00494DEB" w:rsidRDefault="00063194" w:rsidP="00BC2480">
      <w:pPr>
        <w:spacing w:line="288" w:lineRule="auto"/>
        <w:contextualSpacing/>
        <w:jc w:val="left"/>
        <w:rPr>
          <w:rFonts w:eastAsia="Times New Roman" w:cstheme="minorHAnsi"/>
          <w:sz w:val="24"/>
          <w:szCs w:val="24"/>
        </w:rPr>
      </w:pPr>
    </w:p>
    <w:p w14:paraId="07C4EDE7" w14:textId="5BB61C8C" w:rsidR="00BC2480" w:rsidRPr="00494DEB" w:rsidRDefault="00BC2480" w:rsidP="00BC2480">
      <w:pPr>
        <w:spacing w:line="288" w:lineRule="auto"/>
        <w:contextualSpacing/>
        <w:jc w:val="left"/>
        <w:rPr>
          <w:rFonts w:eastAsia="Times New Roman" w:cstheme="minorHAnsi"/>
          <w:sz w:val="24"/>
          <w:szCs w:val="24"/>
        </w:rPr>
      </w:pPr>
      <w:r w:rsidRPr="00494DEB">
        <w:rPr>
          <w:rFonts w:eastAsia="Times New Roman" w:cstheme="minorHAnsi"/>
          <w:sz w:val="24"/>
          <w:szCs w:val="24"/>
        </w:rPr>
        <w:t xml:space="preserve">Mr. Nazzal further stated that the TotalEnergies Youth </w:t>
      </w:r>
      <w:proofErr w:type="spellStart"/>
      <w:r w:rsidRPr="00494DEB">
        <w:rPr>
          <w:rFonts w:eastAsia="Times New Roman" w:cstheme="minorHAnsi"/>
          <w:sz w:val="24"/>
          <w:szCs w:val="24"/>
        </w:rPr>
        <w:t>Centers</w:t>
      </w:r>
      <w:proofErr w:type="spellEnd"/>
      <w:r w:rsidRPr="00494DEB">
        <w:rPr>
          <w:rFonts w:eastAsia="Times New Roman" w:cstheme="minorHAnsi"/>
          <w:sz w:val="24"/>
          <w:szCs w:val="24"/>
        </w:rPr>
        <w:t xml:space="preserve"> League is a successful model of cooperation between state institutions and the private sector in supporting Egyptian sports and empowering youth to showcase their abilities and talents within a framework of fair competition and national belonging.</w:t>
      </w:r>
    </w:p>
    <w:p w14:paraId="74720B7C" w14:textId="77777777" w:rsidR="00063194" w:rsidRPr="00494DEB" w:rsidRDefault="00063194" w:rsidP="00BC2480">
      <w:pPr>
        <w:spacing w:line="288" w:lineRule="auto"/>
        <w:contextualSpacing/>
        <w:jc w:val="left"/>
        <w:rPr>
          <w:rFonts w:eastAsia="Times New Roman" w:cstheme="minorHAnsi"/>
          <w:sz w:val="24"/>
          <w:szCs w:val="24"/>
        </w:rPr>
      </w:pPr>
    </w:p>
    <w:p w14:paraId="6269E213" w14:textId="77777777" w:rsidR="00925022" w:rsidRPr="00494DEB" w:rsidRDefault="00925022" w:rsidP="00777F27">
      <w:pPr>
        <w:spacing w:line="288" w:lineRule="auto"/>
        <w:jc w:val="left"/>
        <w:rPr>
          <w:rFonts w:eastAsia="Times New Roman" w:cstheme="minorHAnsi"/>
          <w:sz w:val="24"/>
          <w:szCs w:val="24"/>
        </w:rPr>
      </w:pPr>
      <w:r w:rsidRPr="00494DEB">
        <w:rPr>
          <w:rFonts w:eastAsia="Times New Roman" w:cstheme="minorHAnsi"/>
          <w:sz w:val="24"/>
          <w:szCs w:val="24"/>
        </w:rPr>
        <w:t>As part of developing the tournament and encouraging teams and players to participate and excel, the organizing committee announces the allocation of a total cash prize for the four winning teams.</w:t>
      </w:r>
    </w:p>
    <w:p w14:paraId="55CC2999" w14:textId="77777777" w:rsidR="00925022" w:rsidRPr="00494DEB" w:rsidRDefault="00925022" w:rsidP="00777F27">
      <w:pPr>
        <w:spacing w:line="288" w:lineRule="auto"/>
        <w:jc w:val="left"/>
        <w:rPr>
          <w:rFonts w:eastAsia="Times New Roman" w:cstheme="minorHAnsi"/>
          <w:b/>
          <w:bCs/>
          <w:sz w:val="24"/>
          <w:szCs w:val="24"/>
        </w:rPr>
      </w:pPr>
    </w:p>
    <w:p w14:paraId="045BE402" w14:textId="1312DD9A" w:rsidR="00777F27" w:rsidRPr="00494DEB" w:rsidRDefault="00777F27" w:rsidP="00777F27">
      <w:pPr>
        <w:spacing w:line="288" w:lineRule="auto"/>
        <w:jc w:val="left"/>
        <w:rPr>
          <w:rFonts w:eastAsia="Times New Roman" w:cstheme="minorHAnsi"/>
          <w:sz w:val="24"/>
          <w:szCs w:val="24"/>
        </w:rPr>
      </w:pPr>
      <w:r w:rsidRPr="00494DEB">
        <w:rPr>
          <w:rFonts w:eastAsia="Times New Roman" w:cstheme="minorHAnsi"/>
          <w:b/>
          <w:bCs/>
          <w:sz w:val="24"/>
          <w:szCs w:val="24"/>
        </w:rPr>
        <w:t>Additionally, four trophies will be awarded to outstanding individual performers:</w:t>
      </w:r>
    </w:p>
    <w:p w14:paraId="3529F96B" w14:textId="27BFCE59" w:rsidR="00063194" w:rsidRPr="00494DEB" w:rsidRDefault="00BC2480" w:rsidP="00063194">
      <w:pPr>
        <w:pStyle w:val="ListParagraph"/>
        <w:numPr>
          <w:ilvl w:val="0"/>
          <w:numId w:val="2"/>
        </w:numPr>
        <w:spacing w:line="288" w:lineRule="auto"/>
        <w:jc w:val="left"/>
        <w:rPr>
          <w:rFonts w:eastAsia="Times New Roman" w:cstheme="minorHAnsi"/>
          <w:sz w:val="24"/>
          <w:szCs w:val="24"/>
        </w:rPr>
      </w:pPr>
      <w:r w:rsidRPr="00494DEB">
        <w:rPr>
          <w:rFonts w:eastAsia="Times New Roman" w:cstheme="minorHAnsi"/>
          <w:sz w:val="24"/>
          <w:szCs w:val="24"/>
        </w:rPr>
        <w:t>Best Goalkeeper</w:t>
      </w:r>
    </w:p>
    <w:p w14:paraId="0B6F1F46" w14:textId="44173F60" w:rsidR="00063194" w:rsidRPr="00494DEB" w:rsidRDefault="00063194" w:rsidP="00063194">
      <w:pPr>
        <w:pStyle w:val="ListParagraph"/>
        <w:numPr>
          <w:ilvl w:val="0"/>
          <w:numId w:val="2"/>
        </w:numPr>
        <w:spacing w:line="288" w:lineRule="auto"/>
        <w:jc w:val="left"/>
        <w:rPr>
          <w:rFonts w:eastAsia="Times New Roman" w:cstheme="minorHAnsi"/>
          <w:sz w:val="24"/>
          <w:szCs w:val="24"/>
        </w:rPr>
      </w:pPr>
      <w:r w:rsidRPr="00494DEB">
        <w:rPr>
          <w:rFonts w:eastAsia="Times New Roman" w:cstheme="minorHAnsi"/>
          <w:sz w:val="24"/>
          <w:szCs w:val="24"/>
        </w:rPr>
        <w:t>Best Pla</w:t>
      </w:r>
      <w:r w:rsidR="00777F27" w:rsidRPr="00494DEB">
        <w:rPr>
          <w:rFonts w:eastAsia="Times New Roman" w:cstheme="minorHAnsi"/>
          <w:sz w:val="24"/>
          <w:szCs w:val="24"/>
        </w:rPr>
        <w:t>yer</w:t>
      </w:r>
    </w:p>
    <w:p w14:paraId="6E983D6C" w14:textId="09CFFED0" w:rsidR="00063194" w:rsidRPr="00494DEB" w:rsidRDefault="00BC2480" w:rsidP="00063194">
      <w:pPr>
        <w:pStyle w:val="ListParagraph"/>
        <w:numPr>
          <w:ilvl w:val="0"/>
          <w:numId w:val="2"/>
        </w:numPr>
        <w:spacing w:line="288" w:lineRule="auto"/>
        <w:jc w:val="left"/>
        <w:rPr>
          <w:rFonts w:eastAsia="Times New Roman" w:cstheme="minorHAnsi"/>
          <w:sz w:val="24"/>
          <w:szCs w:val="24"/>
        </w:rPr>
      </w:pPr>
      <w:r w:rsidRPr="00494DEB">
        <w:rPr>
          <w:rFonts w:eastAsia="Times New Roman" w:cstheme="minorHAnsi"/>
          <w:sz w:val="24"/>
          <w:szCs w:val="24"/>
        </w:rPr>
        <w:t>Top Scorer</w:t>
      </w:r>
    </w:p>
    <w:p w14:paraId="03F999ED" w14:textId="52A14162" w:rsidR="00BC2480" w:rsidRPr="00494DEB" w:rsidRDefault="00063194" w:rsidP="00063194">
      <w:pPr>
        <w:pStyle w:val="ListParagraph"/>
        <w:numPr>
          <w:ilvl w:val="0"/>
          <w:numId w:val="2"/>
        </w:numPr>
        <w:spacing w:line="288" w:lineRule="auto"/>
        <w:jc w:val="left"/>
        <w:rPr>
          <w:rFonts w:eastAsia="Times New Roman" w:cstheme="minorHAnsi"/>
          <w:sz w:val="24"/>
          <w:szCs w:val="24"/>
        </w:rPr>
      </w:pPr>
      <w:r w:rsidRPr="00494DEB">
        <w:rPr>
          <w:rFonts w:eastAsia="Times New Roman" w:cstheme="minorHAnsi"/>
          <w:sz w:val="24"/>
          <w:szCs w:val="24"/>
        </w:rPr>
        <w:t>Man of the Match</w:t>
      </w:r>
    </w:p>
    <w:p w14:paraId="0F563641" w14:textId="77777777" w:rsidR="00063194" w:rsidRPr="00494DEB" w:rsidRDefault="00063194" w:rsidP="00063194">
      <w:pPr>
        <w:pStyle w:val="ListParagraph"/>
        <w:spacing w:line="288" w:lineRule="auto"/>
        <w:ind w:left="360"/>
        <w:jc w:val="left"/>
        <w:rPr>
          <w:rFonts w:eastAsia="Times New Roman" w:cstheme="minorHAnsi"/>
          <w:sz w:val="24"/>
          <w:szCs w:val="24"/>
        </w:rPr>
      </w:pPr>
    </w:p>
    <w:p w14:paraId="2DF7347A" w14:textId="77777777" w:rsidR="00777F27" w:rsidRPr="00494DEB" w:rsidRDefault="00777F27" w:rsidP="00777F27">
      <w:pPr>
        <w:spacing w:line="288" w:lineRule="auto"/>
        <w:contextualSpacing/>
        <w:rPr>
          <w:rFonts w:eastAsia="Times New Roman" w:cstheme="minorHAnsi"/>
          <w:sz w:val="24"/>
          <w:szCs w:val="24"/>
        </w:rPr>
      </w:pPr>
      <w:r w:rsidRPr="00494DEB">
        <w:rPr>
          <w:rFonts w:eastAsia="Times New Roman" w:cstheme="minorHAnsi"/>
          <w:sz w:val="24"/>
          <w:szCs w:val="24"/>
        </w:rPr>
        <w:t>The tournament will feature 27 teams representing all Egyptian governorates, reflecting the organizing committee's commitment to enhancing competition and broadening participation nationwide. The competition will commence following the official draw ceremony.</w:t>
      </w:r>
    </w:p>
    <w:p w14:paraId="0B37C8E4" w14:textId="77777777" w:rsidR="00777F27" w:rsidRPr="00494DEB" w:rsidRDefault="00777F27" w:rsidP="00777F27">
      <w:pPr>
        <w:spacing w:line="288" w:lineRule="auto"/>
        <w:contextualSpacing/>
        <w:jc w:val="left"/>
        <w:rPr>
          <w:rFonts w:eastAsia="Times New Roman" w:cstheme="minorHAnsi"/>
          <w:sz w:val="24"/>
          <w:szCs w:val="24"/>
        </w:rPr>
      </w:pPr>
      <w:r w:rsidRPr="00494DEB">
        <w:rPr>
          <w:rFonts w:eastAsia="Times New Roman" w:cstheme="minorHAnsi"/>
          <w:sz w:val="24"/>
          <w:szCs w:val="24"/>
        </w:rPr>
        <w:t>A new mascot design for the 2026 tournament will also be unveiled, aiming to modernize the tournament's identity and add a distinctive touch to the event</w:t>
      </w:r>
    </w:p>
    <w:p w14:paraId="27FF938F" w14:textId="77777777" w:rsidR="00777F27" w:rsidRPr="00494DEB" w:rsidRDefault="00777F27" w:rsidP="00777F27">
      <w:pPr>
        <w:spacing w:line="288" w:lineRule="auto"/>
        <w:contextualSpacing/>
        <w:jc w:val="left"/>
        <w:rPr>
          <w:rFonts w:eastAsia="Times New Roman" w:cstheme="minorHAnsi"/>
          <w:sz w:val="24"/>
          <w:szCs w:val="24"/>
        </w:rPr>
      </w:pPr>
    </w:p>
    <w:p w14:paraId="5DE3A0B8" w14:textId="762296C9" w:rsidR="00BC2480" w:rsidRPr="00494DEB" w:rsidRDefault="00BC2480" w:rsidP="00777F27">
      <w:pPr>
        <w:spacing w:line="288" w:lineRule="auto"/>
        <w:contextualSpacing/>
        <w:jc w:val="left"/>
        <w:rPr>
          <w:rFonts w:eastAsia="Times New Roman" w:cstheme="minorHAnsi"/>
          <w:sz w:val="24"/>
          <w:szCs w:val="24"/>
        </w:rPr>
      </w:pPr>
      <w:r w:rsidRPr="00494DEB">
        <w:rPr>
          <w:rFonts w:eastAsia="Times New Roman" w:cstheme="minorHAnsi"/>
          <w:sz w:val="24"/>
          <w:szCs w:val="24"/>
        </w:rPr>
        <w:t xml:space="preserve">It is noteworthy that the TotalEnergies Youth </w:t>
      </w:r>
      <w:proofErr w:type="spellStart"/>
      <w:r w:rsidRPr="00494DEB">
        <w:rPr>
          <w:rFonts w:eastAsia="Times New Roman" w:cstheme="minorHAnsi"/>
          <w:sz w:val="24"/>
          <w:szCs w:val="24"/>
        </w:rPr>
        <w:t>Centers</w:t>
      </w:r>
      <w:proofErr w:type="spellEnd"/>
      <w:r w:rsidRPr="00494DEB">
        <w:rPr>
          <w:rFonts w:eastAsia="Times New Roman" w:cstheme="minorHAnsi"/>
          <w:sz w:val="24"/>
          <w:szCs w:val="24"/>
        </w:rPr>
        <w:t xml:space="preserve"> League is one of the most important sports projects launched by the Ministry of Youth and Sports in cooperation with the private sector. It aims to expand the base of football practitioners nationwide and provide youth with opportunities to discover their sports talents within youth </w:t>
      </w:r>
      <w:proofErr w:type="spellStart"/>
      <w:r w:rsidRPr="00494DEB">
        <w:rPr>
          <w:rFonts w:eastAsia="Times New Roman" w:cstheme="minorHAnsi"/>
          <w:sz w:val="24"/>
          <w:szCs w:val="24"/>
        </w:rPr>
        <w:t>centers</w:t>
      </w:r>
      <w:proofErr w:type="spellEnd"/>
      <w:r w:rsidRPr="00494DEB">
        <w:rPr>
          <w:rFonts w:eastAsia="Times New Roman" w:cstheme="minorHAnsi"/>
          <w:sz w:val="24"/>
          <w:szCs w:val="24"/>
        </w:rPr>
        <w:t xml:space="preserve"> in villages and cities across Egypt. Over its previous editions, the league has contributed to producing many outstanding talents for clubs and national teams, while also instilling values of belonging and community participation among youth.</w:t>
      </w:r>
    </w:p>
    <w:p w14:paraId="5AAB93CA" w14:textId="0099AABC" w:rsidR="00761498" w:rsidRPr="00494DEB" w:rsidRDefault="00BC2480" w:rsidP="00063194">
      <w:pPr>
        <w:spacing w:line="288" w:lineRule="auto"/>
        <w:contextualSpacing/>
        <w:jc w:val="center"/>
        <w:rPr>
          <w:rFonts w:eastAsia="Calibri" w:cstheme="minorHAnsi"/>
          <w:b/>
          <w:bCs/>
          <w:i/>
          <w:iCs/>
          <w:sz w:val="24"/>
          <w:szCs w:val="24"/>
          <w:rtl/>
        </w:rPr>
      </w:pPr>
      <w:r w:rsidRPr="00494DEB">
        <w:rPr>
          <w:rFonts w:eastAsia="Times New Roman" w:cstheme="minorHAnsi"/>
          <w:b/>
          <w:bCs/>
          <w:sz w:val="24"/>
          <w:szCs w:val="24"/>
        </w:rPr>
        <w:t>— End —</w:t>
      </w:r>
    </w:p>
    <w:p w14:paraId="239C92EB" w14:textId="1464A575" w:rsidR="00DE1311" w:rsidRDefault="00DE1311" w:rsidP="00DE1311">
      <w:pPr>
        <w:jc w:val="center"/>
        <w:rPr>
          <w:rFonts w:ascii="Arial" w:eastAsia="Arial" w:hAnsi="Arial" w:cs="Arial"/>
          <w:b/>
          <w:bCs/>
          <w:sz w:val="22"/>
          <w:szCs w:val="22"/>
          <w:lang w:val="en-US"/>
        </w:rPr>
      </w:pPr>
    </w:p>
    <w:p w14:paraId="742C28EE" w14:textId="5D2B31D6" w:rsidR="00925022" w:rsidRDefault="00925022" w:rsidP="00DE1311">
      <w:pPr>
        <w:jc w:val="center"/>
        <w:rPr>
          <w:rFonts w:ascii="Arial" w:eastAsia="Arial" w:hAnsi="Arial" w:cs="Arial"/>
          <w:b/>
          <w:bCs/>
          <w:sz w:val="22"/>
          <w:szCs w:val="22"/>
          <w:lang w:val="en-US"/>
        </w:rPr>
      </w:pPr>
    </w:p>
    <w:p w14:paraId="5D23D6DA" w14:textId="42F6498E" w:rsidR="00925022" w:rsidRDefault="00925022" w:rsidP="00DE1311">
      <w:pPr>
        <w:jc w:val="center"/>
        <w:rPr>
          <w:rFonts w:ascii="Arial" w:eastAsia="Arial" w:hAnsi="Arial" w:cs="Arial"/>
          <w:b/>
          <w:bCs/>
          <w:sz w:val="22"/>
          <w:szCs w:val="22"/>
          <w:lang w:val="en-US"/>
        </w:rPr>
      </w:pPr>
    </w:p>
    <w:p w14:paraId="7D7096B0" w14:textId="6351D06D" w:rsidR="00925022" w:rsidRDefault="00925022" w:rsidP="00DE1311">
      <w:pPr>
        <w:jc w:val="center"/>
        <w:rPr>
          <w:rFonts w:ascii="Arial" w:eastAsia="Arial" w:hAnsi="Arial" w:cs="Arial"/>
          <w:b/>
          <w:bCs/>
          <w:sz w:val="22"/>
          <w:szCs w:val="22"/>
          <w:lang w:val="en-US"/>
        </w:rPr>
      </w:pPr>
    </w:p>
    <w:p w14:paraId="54B5D46A" w14:textId="77777777" w:rsidR="00925022" w:rsidRPr="00DE1311" w:rsidRDefault="00925022" w:rsidP="00DE1311">
      <w:pPr>
        <w:jc w:val="center"/>
        <w:rPr>
          <w:rFonts w:ascii="Arial" w:eastAsia="Arial" w:hAnsi="Arial" w:cs="Arial"/>
          <w:b/>
          <w:bCs/>
          <w:sz w:val="22"/>
          <w:szCs w:val="22"/>
          <w:lang w:val="en-US"/>
        </w:rPr>
      </w:pPr>
    </w:p>
    <w:p w14:paraId="48BD09C0" w14:textId="77777777" w:rsidR="00DE1311" w:rsidRPr="00DE1311" w:rsidRDefault="00DE1311" w:rsidP="00DE1311">
      <w:pPr>
        <w:contextualSpacing/>
        <w:rPr>
          <w:rFonts w:ascii="Arial" w:eastAsia="Arial" w:hAnsi="Arial" w:cs="Arial"/>
          <w:b/>
          <w:bCs/>
          <w:sz w:val="18"/>
          <w:szCs w:val="18"/>
          <w:lang w:val="en-US"/>
        </w:rPr>
      </w:pPr>
      <w:r w:rsidRPr="00DE1311">
        <w:rPr>
          <w:rFonts w:ascii="Arial" w:eastAsia="Arial" w:hAnsi="Arial" w:cs="Arial"/>
          <w:b/>
          <w:bCs/>
          <w:i/>
          <w:iCs/>
          <w:sz w:val="18"/>
          <w:szCs w:val="18"/>
          <w:lang w:val="en-US"/>
        </w:rPr>
        <w:t xml:space="preserve">About TotalEnergies Marketing Egypt </w:t>
      </w:r>
    </w:p>
    <w:p w14:paraId="172BF66D" w14:textId="77777777" w:rsidR="00DE1311" w:rsidRPr="00DE1311" w:rsidRDefault="00DE1311" w:rsidP="00DE1311">
      <w:pPr>
        <w:rPr>
          <w:rFonts w:ascii="Arial" w:eastAsia="Arial" w:hAnsi="Arial" w:cs="Arial"/>
          <w:lang w:val="en-US"/>
        </w:rPr>
      </w:pPr>
      <w:r w:rsidRPr="00DE1311">
        <w:rPr>
          <w:rFonts w:ascii="Arial" w:eastAsia="Arial" w:hAnsi="Arial" w:cs="Arial"/>
          <w:lang w:val="en-US"/>
        </w:rPr>
        <w:t xml:space="preserve">TotalEnergies Marketing Egypt (TEME) is a 50/50 joint venture between TotalEnergies Marketing Africa, a subsidiary of the multinational broad energy company TotalEnergies SE, and the Abu Dhabi National Oil Company (ADNOC) for Distribution, a leading fuel distribution company in the Middle East. Combining the global expertise of two energy leaders, TEME drives innovation and growth in Egypt’s energy sector. Operating across the Retail, Aviation Fueling, Lubricants Sales, and General Trade businesses, TEME manages an extensive network of more than 240 service stations nationwide, including 11 fully branded ADNOC stations—the first of their kind in Egypt. With a workforce of over 1,500 employees, TEME is dedicated to operational excellence, sustainability, and delivering superior customer experience, while ensuring the safety of its industrial sites and the well-being of people. For more Information, visit </w:t>
      </w:r>
      <w:hyperlink r:id="rId7" w:history="1">
        <w:r w:rsidRPr="00DE1311">
          <w:rPr>
            <w:rFonts w:ascii="Arial" w:eastAsia="Arial" w:hAnsi="Arial" w:cs="Arial"/>
            <w:color w:val="285AFF"/>
            <w:u w:val="single"/>
            <w:lang w:val="en-US"/>
          </w:rPr>
          <w:t>totalenergies.eg/</w:t>
        </w:r>
        <w:proofErr w:type="spellStart"/>
        <w:r w:rsidRPr="00DE1311">
          <w:rPr>
            <w:rFonts w:ascii="Arial" w:eastAsia="Arial" w:hAnsi="Arial" w:cs="Arial"/>
            <w:color w:val="285AFF"/>
            <w:u w:val="single"/>
            <w:lang w:val="en-US"/>
          </w:rPr>
          <w:t>en</w:t>
        </w:r>
        <w:proofErr w:type="spellEnd"/>
      </w:hyperlink>
      <w:r w:rsidRPr="00DE1311">
        <w:rPr>
          <w:rFonts w:ascii="Arial" w:eastAsia="Arial" w:hAnsi="Arial" w:cs="Arial"/>
          <w:lang w:val="en-US"/>
        </w:rPr>
        <w:t xml:space="preserve">. </w:t>
      </w:r>
    </w:p>
    <w:p w14:paraId="0C9967C0" w14:textId="77777777" w:rsidR="00DE1311" w:rsidRPr="00DE1311" w:rsidRDefault="00DE1311" w:rsidP="00DE1311">
      <w:pPr>
        <w:rPr>
          <w:rFonts w:ascii="Arial" w:eastAsia="Arial" w:hAnsi="Arial" w:cs="Arial"/>
          <w:lang w:val="en-US"/>
        </w:rPr>
      </w:pPr>
      <w:r w:rsidRPr="00DE1311">
        <w:rPr>
          <w:rFonts w:ascii="Arial" w:eastAsia="Arial" w:hAnsi="Arial" w:cs="Arial"/>
          <w:lang w:val="en-US"/>
        </w:rPr>
        <w:t xml:space="preserve">  </w:t>
      </w:r>
    </w:p>
    <w:p w14:paraId="742DF468" w14:textId="77777777" w:rsidR="00DE1311" w:rsidRPr="00DE1311" w:rsidRDefault="00DE1311" w:rsidP="00DE1311">
      <w:pPr>
        <w:spacing w:line="360" w:lineRule="auto"/>
        <w:rPr>
          <w:rFonts w:ascii="Arial" w:eastAsia="Arial" w:hAnsi="Arial" w:cs="Arial"/>
          <w:lang w:val="en-US"/>
        </w:rPr>
      </w:pPr>
    </w:p>
    <w:p w14:paraId="22063ACF" w14:textId="77777777" w:rsidR="00DE1311" w:rsidRPr="00DE1311" w:rsidRDefault="00DE1311" w:rsidP="00DE1311">
      <w:pPr>
        <w:spacing w:before="128" w:line="206" w:lineRule="exact"/>
        <w:textAlignment w:val="baseline"/>
        <w:rPr>
          <w:rFonts w:ascii="Arial" w:eastAsia="Arial" w:hAnsi="Arial" w:cs="Arial"/>
          <w:b/>
          <w:color w:val="000000"/>
          <w:lang w:val="en-US"/>
        </w:rPr>
      </w:pPr>
      <w:r w:rsidRPr="00DE1311">
        <w:rPr>
          <w:rFonts w:ascii="Arial" w:eastAsia="Arial" w:hAnsi="Arial" w:cs="Arial"/>
          <w:b/>
          <w:color w:val="000000"/>
          <w:lang w:val="en-US"/>
        </w:rPr>
        <w:t>About ADNOC Distribution</w:t>
      </w:r>
    </w:p>
    <w:p w14:paraId="640AE8F2" w14:textId="77777777" w:rsidR="00DE1311" w:rsidRPr="00DE1311" w:rsidRDefault="00DE1311" w:rsidP="00DE1311">
      <w:pPr>
        <w:contextualSpacing/>
        <w:rPr>
          <w:rFonts w:ascii="Arial" w:eastAsia="Arial" w:hAnsi="Arial" w:cs="Arial"/>
          <w:lang w:val="en-US"/>
        </w:rPr>
      </w:pPr>
      <w:r w:rsidRPr="00DE1311">
        <w:rPr>
          <w:rFonts w:ascii="Arial" w:eastAsia="Arial" w:hAnsi="Arial" w:cs="Arial"/>
          <w:lang w:val="en-US"/>
        </w:rPr>
        <w:t xml:space="preserve">ADNOC Distribution is a leading mobility retailer in UAE. The Company has been providing energy for customers’ journeys since 1973. Since this time, the Company has continuously been at the forefront of providing the best in customer service. Today, ADNOC Distribution enables, enhances, and energizes every customer journey thanks to digitally enabled, innovative customer experiences and high-quality non-fuel retail products. The Company operates service stations in all seven emirates in its home country, plus Saudi Arabia and Egypt, and sells lubricants in 46 countries across the world via distributors. Now in its 51st year, ADNOC Distribution has 896 service stations, 551 in the UAE, 70 in Saudi Arabia (in addition, 30 stations have been contracted and under development), and 245 in Egypt. As a non-fuel retail leader in the UAE, it operates 373 ADNOC Oasis convenience stores, 35 vehicle inspection centers, and other leading services spanning car wash, lube change, and EV charging. The Company is also the leading marketer and distributor of fuels to commercial, industrial, and government customers throughout the UAE. All figures as of 31 December 2024. ADNOC Distribution aims to be the global mobility retailer of choice, enabler of sustainable mobility, and provider of exceptional customer experiences. To find out more, visit </w:t>
      </w:r>
      <w:hyperlink r:id="rId8" w:history="1">
        <w:r w:rsidRPr="00DE1311">
          <w:rPr>
            <w:rFonts w:ascii="Arial" w:eastAsia="Arial" w:hAnsi="Arial" w:cs="Arial"/>
            <w:color w:val="285AFF"/>
            <w:u w:val="single"/>
            <w:lang w:val="en-US"/>
          </w:rPr>
          <w:t>adnocdistribution.ae</w:t>
        </w:r>
      </w:hyperlink>
      <w:r w:rsidRPr="00DE1311">
        <w:rPr>
          <w:rFonts w:ascii="Arial" w:eastAsia="Arial" w:hAnsi="Arial" w:cs="Arial"/>
          <w:lang w:val="en-US"/>
        </w:rPr>
        <w:t xml:space="preserve">.   </w:t>
      </w:r>
    </w:p>
    <w:p w14:paraId="11976C46" w14:textId="77777777" w:rsidR="00DE1311" w:rsidRPr="00DE1311" w:rsidRDefault="00DE1311" w:rsidP="00DE1311">
      <w:pPr>
        <w:contextualSpacing/>
        <w:rPr>
          <w:rFonts w:ascii="Arial" w:eastAsia="Arial" w:hAnsi="Arial" w:cs="Arial"/>
          <w:b/>
          <w:bCs/>
          <w:sz w:val="18"/>
          <w:szCs w:val="18"/>
          <w:lang w:val="en-US"/>
        </w:rPr>
      </w:pPr>
    </w:p>
    <w:p w14:paraId="79218388" w14:textId="77777777" w:rsidR="00DE1311" w:rsidRPr="00DE1311" w:rsidRDefault="00DE1311" w:rsidP="00DE1311">
      <w:pPr>
        <w:contextualSpacing/>
        <w:rPr>
          <w:rFonts w:ascii="Arial" w:eastAsia="Arial" w:hAnsi="Arial" w:cs="Arial"/>
          <w:b/>
          <w:bCs/>
          <w:sz w:val="18"/>
          <w:szCs w:val="18"/>
          <w:lang w:val="en-US"/>
        </w:rPr>
      </w:pPr>
      <w:r w:rsidRPr="00DE1311">
        <w:rPr>
          <w:rFonts w:ascii="Arial" w:eastAsia="Arial" w:hAnsi="Arial" w:cs="Arial"/>
          <w:b/>
          <w:bCs/>
          <w:i/>
          <w:iCs/>
          <w:sz w:val="18"/>
          <w:szCs w:val="18"/>
          <w:lang w:val="en-US"/>
        </w:rPr>
        <w:t>About TotalEnergies Marketing Afrique</w:t>
      </w:r>
    </w:p>
    <w:p w14:paraId="15BFEAE6" w14:textId="77777777" w:rsidR="00DE1311" w:rsidRPr="00DE1311" w:rsidRDefault="00DE1311" w:rsidP="00DE1311">
      <w:pPr>
        <w:contextualSpacing/>
        <w:rPr>
          <w:rFonts w:ascii="Arial" w:eastAsia="Arial" w:hAnsi="Arial" w:cs="Arial"/>
          <w:lang w:val="en-US"/>
        </w:rPr>
      </w:pPr>
      <w:r w:rsidRPr="00DE1311">
        <w:rPr>
          <w:rFonts w:ascii="Arial" w:eastAsia="Arial" w:hAnsi="Arial" w:cs="Arial"/>
          <w:lang w:val="en-US"/>
        </w:rPr>
        <w:t>TotalEnergies Marketing Afrique is a Business Unit of the global energy company TotalEnergies, focusing on the marketing and services sector in Africa. It operates in various areas including retail, aviation fueling, lubricants, and general trade. The company is involved in the wholesale of fuels and related products. TotalEnergies Marketing Afrique is a key player in the African energy market, with a large network of service stations and other operations across the continent. </w:t>
      </w:r>
    </w:p>
    <w:p w14:paraId="7EA34202" w14:textId="77777777" w:rsidR="00DE1311" w:rsidRPr="00DE1311" w:rsidRDefault="00DE1311" w:rsidP="00DE1311">
      <w:pPr>
        <w:contextualSpacing/>
        <w:rPr>
          <w:rFonts w:ascii="Arial" w:eastAsia="Arial" w:hAnsi="Arial" w:cs="Arial"/>
          <w:b/>
          <w:bCs/>
          <w:sz w:val="18"/>
          <w:szCs w:val="18"/>
          <w:lang w:val="en-US"/>
        </w:rPr>
      </w:pPr>
    </w:p>
    <w:p w14:paraId="5828395E" w14:textId="77777777" w:rsidR="00DE1311" w:rsidRPr="00DE1311" w:rsidRDefault="00DE1311" w:rsidP="00DE1311">
      <w:pPr>
        <w:contextualSpacing/>
        <w:rPr>
          <w:rFonts w:ascii="Arial" w:eastAsia="Arial" w:hAnsi="Arial" w:cs="Arial"/>
          <w:sz w:val="18"/>
          <w:szCs w:val="18"/>
        </w:rPr>
      </w:pPr>
      <w:r w:rsidRPr="00DE1311">
        <w:rPr>
          <w:rFonts w:ascii="Arial" w:eastAsia="Arial" w:hAnsi="Arial" w:cs="Arial"/>
          <w:b/>
          <w:bCs/>
          <w:i/>
          <w:iCs/>
          <w:sz w:val="18"/>
          <w:szCs w:val="18"/>
        </w:rPr>
        <w:t>TotalEnergies Marketing Egypt contacts</w:t>
      </w:r>
      <w:r w:rsidRPr="00DE1311">
        <w:rPr>
          <w:rFonts w:ascii="Arial" w:eastAsia="Arial" w:hAnsi="Arial" w:cs="Arial"/>
          <w:i/>
          <w:iCs/>
          <w:sz w:val="18"/>
          <w:szCs w:val="18"/>
        </w:rPr>
        <w:t xml:space="preserve">:  +20 (2) 25225620 </w:t>
      </w:r>
    </w:p>
    <w:p w14:paraId="1A2DA1B1" w14:textId="77777777" w:rsidR="00DE1311" w:rsidRPr="00DE1311" w:rsidRDefault="00DE1311" w:rsidP="00DE1311">
      <w:pPr>
        <w:contextualSpacing/>
        <w:rPr>
          <w:rFonts w:ascii="Arial" w:eastAsia="Arial" w:hAnsi="Arial" w:cs="Arial"/>
          <w:sz w:val="18"/>
          <w:szCs w:val="18"/>
        </w:rPr>
      </w:pPr>
    </w:p>
    <w:p w14:paraId="63A0D545" w14:textId="77777777" w:rsidR="00DE1311" w:rsidRPr="00DE1311" w:rsidRDefault="00DE1311" w:rsidP="00DE1311">
      <w:pPr>
        <w:contextualSpacing/>
        <w:rPr>
          <w:rFonts w:ascii="Arial" w:eastAsia="Arial" w:hAnsi="Arial" w:cs="Arial"/>
          <w:sz w:val="18"/>
          <w:szCs w:val="18"/>
        </w:rPr>
      </w:pPr>
    </w:p>
    <w:p w14:paraId="2C22AD55" w14:textId="77777777" w:rsidR="00DE1311" w:rsidRPr="00DE1311" w:rsidRDefault="00DE1311" w:rsidP="00DE1311">
      <w:pPr>
        <w:contextualSpacing/>
        <w:jc w:val="center"/>
        <w:rPr>
          <w:rFonts w:ascii="Arial" w:eastAsia="Arial" w:hAnsi="Arial" w:cs="Arial"/>
          <w:sz w:val="18"/>
          <w:szCs w:val="18"/>
        </w:rPr>
      </w:pPr>
      <w:r w:rsidRPr="00DE1311">
        <w:rPr>
          <w:rFonts w:ascii="Arial" w:eastAsia="Arial" w:hAnsi="Arial" w:cs="Arial"/>
          <w:i/>
          <w:iCs/>
          <w:sz w:val="18"/>
          <w:szCs w:val="18"/>
        </w:rPr>
        <w:tab/>
      </w:r>
      <w:r w:rsidRPr="00DE1311">
        <w:rPr>
          <w:rFonts w:ascii="Arial" w:eastAsia="Arial" w:hAnsi="Arial" w:cs="Arial"/>
          <w:noProof/>
          <w:lang w:val="en-US"/>
        </w:rPr>
        <w:drawing>
          <wp:inline distT="0" distB="0" distL="0" distR="0" wp14:anchorId="7C35AE27" wp14:editId="3267108B">
            <wp:extent cx="215900" cy="215900"/>
            <wp:effectExtent l="0" t="0" r="0" b="0"/>
            <wp:docPr id="5" name="Image 5" descr="A blue circle with a white letter f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A blue circle with a white letter f i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inline>
        </w:drawing>
      </w:r>
      <w:r w:rsidRPr="00DE1311">
        <w:rPr>
          <w:rFonts w:ascii="Arial" w:eastAsia="Arial" w:hAnsi="Arial" w:cs="Arial"/>
          <w:i/>
          <w:iCs/>
          <w:sz w:val="18"/>
          <w:szCs w:val="18"/>
        </w:rPr>
        <w:t xml:space="preserve"> </w:t>
      </w:r>
      <w:hyperlink r:id="rId10" w:history="1">
        <w:r w:rsidRPr="00DE1311">
          <w:rPr>
            <w:rFonts w:ascii="Arial" w:eastAsia="Arial" w:hAnsi="Arial" w:cs="Arial"/>
            <w:color w:val="285AFF"/>
            <w:u w:val="single"/>
          </w:rPr>
          <w:t>TotalEnergies</w:t>
        </w:r>
      </w:hyperlink>
      <w:r w:rsidRPr="00DE1311">
        <w:rPr>
          <w:rFonts w:ascii="Arial" w:eastAsia="Arial" w:hAnsi="Arial" w:cs="Arial"/>
          <w:i/>
          <w:iCs/>
          <w:sz w:val="18"/>
          <w:szCs w:val="18"/>
        </w:rPr>
        <w:tab/>
      </w:r>
      <w:r w:rsidRPr="00DE1311">
        <w:rPr>
          <w:rFonts w:ascii="Arial" w:eastAsia="Arial" w:hAnsi="Arial" w:cs="Arial"/>
          <w:noProof/>
          <w:lang w:val="en-US"/>
        </w:rPr>
        <w:drawing>
          <wp:inline distT="0" distB="0" distL="0" distR="0" wp14:anchorId="36F2806F" wp14:editId="1035F74C">
            <wp:extent cx="216000" cy="216000"/>
            <wp:effectExtent l="0" t="0" r="0" b="0"/>
            <wp:docPr id="6" name="Image 6"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A logo of a camera&#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DE1311">
        <w:rPr>
          <w:rFonts w:ascii="Arial" w:eastAsia="Arial" w:hAnsi="Arial" w:cs="Arial"/>
          <w:i/>
          <w:iCs/>
          <w:sz w:val="18"/>
          <w:szCs w:val="18"/>
        </w:rPr>
        <w:t> </w:t>
      </w:r>
      <w:hyperlink r:id="rId12" w:history="1">
        <w:r w:rsidRPr="00DE1311">
          <w:rPr>
            <w:rFonts w:ascii="Arial" w:eastAsia="Arial" w:hAnsi="Arial" w:cs="Arial"/>
            <w:color w:val="285AFF"/>
            <w:u w:val="single"/>
          </w:rPr>
          <w:t>TotalEnergies</w:t>
        </w:r>
      </w:hyperlink>
    </w:p>
    <w:p w14:paraId="4960539F" w14:textId="77777777" w:rsidR="00DE1311" w:rsidRPr="00DE1311" w:rsidRDefault="00DE1311" w:rsidP="00DE1311">
      <w:pPr>
        <w:contextualSpacing/>
        <w:rPr>
          <w:rFonts w:ascii="Arial" w:eastAsia="Arial" w:hAnsi="Arial" w:cs="Arial"/>
          <w:sz w:val="18"/>
          <w:szCs w:val="18"/>
        </w:rPr>
      </w:pPr>
    </w:p>
    <w:p w14:paraId="0F74C804" w14:textId="77777777" w:rsidR="00DE1311" w:rsidRPr="00DE1311" w:rsidRDefault="00DE1311" w:rsidP="00DE1311">
      <w:pPr>
        <w:contextualSpacing/>
        <w:rPr>
          <w:rFonts w:ascii="Arial" w:eastAsia="Arial" w:hAnsi="Arial" w:cs="Arial"/>
          <w:b/>
          <w:bCs/>
          <w:sz w:val="18"/>
          <w:szCs w:val="18"/>
          <w:lang w:val="en-US"/>
        </w:rPr>
      </w:pPr>
      <w:r w:rsidRPr="00DE1311">
        <w:rPr>
          <w:rFonts w:ascii="Arial" w:eastAsia="Arial" w:hAnsi="Arial" w:cs="Arial"/>
          <w:b/>
          <w:bCs/>
          <w:i/>
          <w:iCs/>
          <w:sz w:val="18"/>
          <w:szCs w:val="18"/>
          <w:lang w:val="en-US"/>
        </w:rPr>
        <w:t>Cautionary Note</w:t>
      </w:r>
    </w:p>
    <w:p w14:paraId="0E29FF59" w14:textId="77777777" w:rsidR="00DE1311" w:rsidRPr="00DE1311" w:rsidRDefault="00DE1311" w:rsidP="00DE1311">
      <w:pPr>
        <w:contextualSpacing/>
        <w:rPr>
          <w:rFonts w:ascii="Arial" w:eastAsia="Arial" w:hAnsi="Arial" w:cs="Arial"/>
          <w:i/>
          <w:iCs/>
          <w:sz w:val="18"/>
          <w:szCs w:val="18"/>
          <w:lang w:val="en-US"/>
        </w:rPr>
      </w:pPr>
      <w:r w:rsidRPr="00DE1311">
        <w:rPr>
          <w:rFonts w:ascii="Arial" w:eastAsia="Arial" w:hAnsi="Arial" w:cs="Arial"/>
          <w:i/>
          <w:iCs/>
          <w:sz w:val="18"/>
          <w:szCs w:val="18"/>
          <w:lang w:val="en-US"/>
        </w:rPr>
        <w:t>TotalEnergies Marketing Egypt uses TotalEnergies trademarks under license. The views expressed in this release or statement are made by TotalEnergies Marketing Egypt, and are not made on behalf of, nor do they reflect the views of any company of the TotalEnergies group.</w:t>
      </w:r>
    </w:p>
    <w:sectPr w:rsidR="00DE1311" w:rsidRPr="00DE1311" w:rsidSect="003858E3">
      <w:headerReference w:type="first" r:id="rId13"/>
      <w:pgSz w:w="11906" w:h="16838"/>
      <w:pgMar w:top="1644" w:right="1418" w:bottom="81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0BA7" w14:textId="77777777" w:rsidR="00CF0D4D" w:rsidRDefault="00CF0D4D">
      <w:r>
        <w:separator/>
      </w:r>
    </w:p>
  </w:endnote>
  <w:endnote w:type="continuationSeparator" w:id="0">
    <w:p w14:paraId="00DF765A" w14:textId="77777777" w:rsidR="00CF0D4D" w:rsidRDefault="00CF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Rounded Light">
    <w:altName w:val="Calibri"/>
    <w:panose1 w:val="00000000000000000000"/>
    <w:charset w:val="00"/>
    <w:family w:val="modern"/>
    <w:notTrueType/>
    <w:pitch w:val="variable"/>
    <w:sig w:usb0="A00000FF" w:usb1="4000004A"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91BC" w14:textId="77777777" w:rsidR="00CF0D4D" w:rsidRDefault="00CF0D4D">
      <w:r>
        <w:separator/>
      </w:r>
    </w:p>
  </w:footnote>
  <w:footnote w:type="continuationSeparator" w:id="0">
    <w:p w14:paraId="4BADED2C" w14:textId="77777777" w:rsidR="00CF0D4D" w:rsidRDefault="00CF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38E6" w14:textId="5FC197AF" w:rsidR="00E1431C" w:rsidRPr="00A14FA5" w:rsidRDefault="00A14FA5" w:rsidP="00A14FA5">
    <w:pPr>
      <w:pStyle w:val="Header"/>
      <w:contextualSpacing/>
      <w:rPr>
        <w:rFonts w:ascii="Gotham Rounded Light" w:hAnsi="Gotham Rounded Light"/>
        <w:color w:val="497D91"/>
        <w:sz w:val="32"/>
        <w:szCs w:val="32"/>
      </w:rPr>
    </w:pPr>
    <w:bookmarkStart w:id="0" w:name="_Hlk212555402"/>
    <w:bookmarkStart w:id="1" w:name="_Hlk212555403"/>
    <w:r>
      <w:rPr>
        <w:noProof/>
      </w:rPr>
      <w:drawing>
        <wp:anchor distT="0" distB="0" distL="114300" distR="114300" simplePos="0" relativeHeight="251659264" behindDoc="1" locked="0" layoutInCell="1" allowOverlap="1" wp14:anchorId="66D4B4F4" wp14:editId="0000F621">
          <wp:simplePos x="0" y="0"/>
          <wp:positionH relativeFrom="column">
            <wp:posOffset>-595630</wp:posOffset>
          </wp:positionH>
          <wp:positionV relativeFrom="paragraph">
            <wp:posOffset>-259715</wp:posOffset>
          </wp:positionV>
          <wp:extent cx="1193800" cy="942975"/>
          <wp:effectExtent l="0" t="0" r="0" b="0"/>
          <wp:wrapSquare wrapText="bothSides"/>
          <wp:docPr id="4037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09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93800" cy="942975"/>
                  </a:xfrm>
                  <a:prstGeom prst="rect">
                    <a:avLst/>
                  </a:prstGeom>
                </pic:spPr>
              </pic:pic>
            </a:graphicData>
          </a:graphic>
          <wp14:sizeRelH relativeFrom="margin">
            <wp14:pctWidth>0</wp14:pctWidth>
          </wp14:sizeRelH>
          <wp14:sizeRelV relativeFrom="margin">
            <wp14:pctHeight>0</wp14:pctHeight>
          </wp14:sizeRelV>
        </wp:anchor>
      </w:drawing>
    </w:r>
    <w:r>
      <w:rPr>
        <w:rFonts w:ascii="Gotham Rounded Light" w:hAnsi="Gotham Rounded Light"/>
        <w:color w:val="ED7D31" w:themeColor="accent2"/>
        <w:sz w:val="32"/>
        <w:szCs w:val="32"/>
        <w:lang w:val="en-US"/>
      </w:rPr>
      <w:t xml:space="preserve">                                                                              </w:t>
    </w:r>
    <w:r w:rsidR="0031416E">
      <w:rPr>
        <w:rFonts w:ascii="Gotham Rounded Light" w:hAnsi="Gotham Rounded Light"/>
        <w:color w:val="ED7D31" w:themeColor="accent2"/>
        <w:sz w:val="32"/>
        <w:szCs w:val="32"/>
        <w:lang w:val="en-US"/>
      </w:rPr>
      <w:t xml:space="preserve"> </w:t>
    </w:r>
    <w:r w:rsidR="0031416E" w:rsidRPr="0031416E">
      <w:rPr>
        <w:rFonts w:ascii="Gotham Rounded Light" w:hAnsi="Gotham Rounded Light"/>
        <w:color w:val="ED7D31" w:themeColor="accent2"/>
        <w:sz w:val="32"/>
        <w:szCs w:val="32"/>
        <w:lang w:val="en-US"/>
      </w:rPr>
      <w:t>PRESS RELEASE</w:t>
    </w:r>
  </w:p>
  <w:p w14:paraId="5CA3E8B8" w14:textId="77777777" w:rsidR="00E1431C" w:rsidRPr="00A54EEA" w:rsidRDefault="00E1431C" w:rsidP="00872F1C">
    <w:pPr>
      <w:pStyle w:val="Header"/>
      <w:contextualSpacing/>
      <w:jc w:val="left"/>
      <w:rPr>
        <w:b/>
        <w:bCs/>
        <w:color w:val="374649"/>
        <w:sz w:val="30"/>
        <w:szCs w:val="30"/>
        <w:lang w:val="en-US"/>
      </w:rPr>
    </w:pPr>
  </w:p>
  <w:bookmarkEnd w:id="0"/>
  <w:bookmarkEnd w:id="1"/>
  <w:p w14:paraId="1723BDE7" w14:textId="77777777" w:rsidR="00E1431C" w:rsidRPr="00A54EEA" w:rsidRDefault="00E1431C" w:rsidP="00872F1C">
    <w:pPr>
      <w:pStyle w:val="Header"/>
      <w:contextualSpacing/>
      <w:jc w:val="left"/>
      <w:rPr>
        <w:b/>
        <w:bCs/>
        <w:color w:val="374649"/>
        <w:sz w:val="30"/>
        <w:szCs w:val="3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91E"/>
    <w:multiLevelType w:val="hybridMultilevel"/>
    <w:tmpl w:val="01E618C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306E12"/>
    <w:multiLevelType w:val="hybridMultilevel"/>
    <w:tmpl w:val="F1305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0451675">
    <w:abstractNumId w:val="1"/>
  </w:num>
  <w:num w:numId="2" w16cid:durableId="267465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B4"/>
    <w:rsid w:val="00047CA0"/>
    <w:rsid w:val="00063194"/>
    <w:rsid w:val="00080101"/>
    <w:rsid w:val="001919B2"/>
    <w:rsid w:val="001A37AE"/>
    <w:rsid w:val="002736A3"/>
    <w:rsid w:val="002A09C6"/>
    <w:rsid w:val="002D41DE"/>
    <w:rsid w:val="002D70FF"/>
    <w:rsid w:val="00306366"/>
    <w:rsid w:val="0031416E"/>
    <w:rsid w:val="00486481"/>
    <w:rsid w:val="00494DEB"/>
    <w:rsid w:val="004F4C0A"/>
    <w:rsid w:val="005F4890"/>
    <w:rsid w:val="00621995"/>
    <w:rsid w:val="00621D10"/>
    <w:rsid w:val="00761498"/>
    <w:rsid w:val="00777F27"/>
    <w:rsid w:val="00925022"/>
    <w:rsid w:val="009368B4"/>
    <w:rsid w:val="00965F88"/>
    <w:rsid w:val="00A14FA5"/>
    <w:rsid w:val="00BC2480"/>
    <w:rsid w:val="00BE4B43"/>
    <w:rsid w:val="00C02599"/>
    <w:rsid w:val="00CF0D4D"/>
    <w:rsid w:val="00D5578C"/>
    <w:rsid w:val="00DB1EC0"/>
    <w:rsid w:val="00DE1311"/>
    <w:rsid w:val="00E1431C"/>
    <w:rsid w:val="00F72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880E5"/>
  <w15:chartTrackingRefBased/>
  <w15:docId w15:val="{F4F2E28A-0E2F-4B39-823F-DE292C7C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8B4"/>
    <w:pPr>
      <w:spacing w:after="0" w:line="240" w:lineRule="auto"/>
      <w:jc w:val="both"/>
    </w:pPr>
    <w:rPr>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8B4"/>
    <w:pPr>
      <w:tabs>
        <w:tab w:val="center" w:pos="4536"/>
        <w:tab w:val="right" w:pos="9072"/>
      </w:tabs>
    </w:pPr>
  </w:style>
  <w:style w:type="character" w:customStyle="1" w:styleId="HeaderChar">
    <w:name w:val="Header Char"/>
    <w:basedOn w:val="DefaultParagraphFont"/>
    <w:link w:val="Header"/>
    <w:uiPriority w:val="99"/>
    <w:rsid w:val="009368B4"/>
    <w:rPr>
      <w:sz w:val="20"/>
      <w:szCs w:val="20"/>
      <w:lang w:val="fr-FR"/>
    </w:rPr>
  </w:style>
  <w:style w:type="paragraph" w:styleId="Footer">
    <w:name w:val="footer"/>
    <w:basedOn w:val="Normal"/>
    <w:link w:val="FooterChar"/>
    <w:uiPriority w:val="99"/>
    <w:unhideWhenUsed/>
    <w:rsid w:val="009368B4"/>
    <w:pPr>
      <w:tabs>
        <w:tab w:val="center" w:pos="4536"/>
        <w:tab w:val="right" w:pos="9072"/>
      </w:tabs>
    </w:pPr>
  </w:style>
  <w:style w:type="character" w:customStyle="1" w:styleId="FooterChar">
    <w:name w:val="Footer Char"/>
    <w:basedOn w:val="DefaultParagraphFont"/>
    <w:link w:val="Footer"/>
    <w:uiPriority w:val="99"/>
    <w:rsid w:val="009368B4"/>
    <w:rPr>
      <w:sz w:val="20"/>
      <w:szCs w:val="20"/>
      <w:lang w:val="fr-FR"/>
    </w:rPr>
  </w:style>
  <w:style w:type="character" w:styleId="SubtleReference">
    <w:name w:val="Subtle Reference"/>
    <w:uiPriority w:val="31"/>
    <w:qFormat/>
    <w:rsid w:val="009368B4"/>
    <w:rPr>
      <w:i/>
      <w:iCs/>
      <w:sz w:val="18"/>
      <w:szCs w:val="18"/>
    </w:rPr>
  </w:style>
  <w:style w:type="character" w:styleId="Hyperlink">
    <w:name w:val="Hyperlink"/>
    <w:basedOn w:val="DefaultParagraphFont"/>
    <w:uiPriority w:val="99"/>
    <w:unhideWhenUsed/>
    <w:rsid w:val="009368B4"/>
    <w:rPr>
      <w:color w:val="0563C1" w:themeColor="hyperlink"/>
      <w:u w:val="single"/>
    </w:rPr>
  </w:style>
  <w:style w:type="paragraph" w:styleId="ListParagraph">
    <w:name w:val="List Paragraph"/>
    <w:basedOn w:val="Normal"/>
    <w:uiPriority w:val="34"/>
    <w:qFormat/>
    <w:rsid w:val="00D55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nocdistribution.a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otalenergies.eg/en." TargetMode="External"/><Relationship Id="rId12" Type="http://schemas.openxmlformats.org/officeDocument/2006/relationships/hyperlink" Target="https://www.instagram.com/totalenergies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TotalEnergiesEgyp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Mahdy</dc:creator>
  <cp:keywords/>
  <dc:description/>
  <cp:lastModifiedBy>Rasha GALAL</cp:lastModifiedBy>
  <cp:revision>2</cp:revision>
  <dcterms:created xsi:type="dcterms:W3CDTF">2025-11-25T12:30:00Z</dcterms:created>
  <dcterms:modified xsi:type="dcterms:W3CDTF">2025-11-25T12:30:00Z</dcterms:modified>
</cp:coreProperties>
</file>