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E5A8" w14:textId="77777777" w:rsidR="003251BC" w:rsidRDefault="003251BC"/>
    <w:p w14:paraId="4906FCA0" w14:textId="77777777" w:rsidR="00DF09B4" w:rsidRDefault="00DF09B4" w:rsidP="00DF09B4">
      <w:r>
        <w:t>TAQA Arabia year end 2024 Earning release.</w:t>
      </w:r>
    </w:p>
    <w:p w14:paraId="743DD7F0" w14:textId="77777777" w:rsidR="00DF09B4" w:rsidRDefault="00DF09B4" w:rsidP="00DF09B4">
      <w:r>
        <w:t>Year end 2024 Key Highlights</w:t>
      </w:r>
    </w:p>
    <w:p w14:paraId="15FDB652" w14:textId="77777777" w:rsidR="00DF09B4" w:rsidRDefault="00DF09B4" w:rsidP="00DF09B4">
      <w:r>
        <w:t>Introduction Statement</w:t>
      </w:r>
    </w:p>
    <w:p w14:paraId="414831F8" w14:textId="54FF36AF" w:rsidR="00DF09B4" w:rsidRDefault="00DF09B4" w:rsidP="00DF09B4"/>
    <w:p w14:paraId="09B1CA31" w14:textId="77777777" w:rsidR="00DF09B4" w:rsidRDefault="00DF09B4" w:rsidP="00DF09B4">
      <w:r>
        <w:t>The year 2024 presented a complex operating environment characterized by significant Regional and global headwinds. These challenges resulted in pronounced economic volatility, heightened inflationary pressures, currency depreciation, elevated interest rates, disruptions in global supply chains, and fluctuating energy prices.</w:t>
      </w:r>
    </w:p>
    <w:p w14:paraId="0241D15F" w14:textId="77777777" w:rsidR="00DF09B4" w:rsidRDefault="00DF09B4" w:rsidP="00DF09B4">
      <w:r>
        <w:t>Despite navigating this challenging landscape, TAQA Arabia demonstrated exceptional resilience. The company not only successfully mitigated the impact of these adverse conditions but also achieved robust growth, with revenues recording an exceptional 40.4% growth, EBITDA increasing by 34.6% and net income rising by 26.7% compared to the preceding year.</w:t>
      </w:r>
    </w:p>
    <w:p w14:paraId="3E64539D" w14:textId="77777777" w:rsidR="00DF09B4" w:rsidRDefault="00DF09B4" w:rsidP="00DF09B4">
      <w:r>
        <w:t>This remarkable performance was driven by a combination of key achievements:</w:t>
      </w:r>
    </w:p>
    <w:p w14:paraId="564489FB" w14:textId="77777777" w:rsidR="00DF09B4" w:rsidRDefault="00DF09B4" w:rsidP="00DF09B4">
      <w:r>
        <w:t>Delivered projects in 2024:</w:t>
      </w:r>
    </w:p>
    <w:p w14:paraId="1E6E435E" w14:textId="77777777" w:rsidR="00DF09B4" w:rsidRDefault="00DF09B4" w:rsidP="00DF09B4">
      <w:r>
        <w:t>·       Continued expansion of our retail network through the role out of new stations in both our Petroleum and CNG divisions.</w:t>
      </w:r>
    </w:p>
    <w:p w14:paraId="071B372E" w14:textId="77777777" w:rsidR="00DF09B4" w:rsidRDefault="00DF09B4" w:rsidP="00DF09B4">
      <w:r>
        <w:t>·       Operations have commenced at the new Alexandria terminal, providing essential logistics support to the Petroleum division and fueling future operational growth.</w:t>
      </w:r>
    </w:p>
    <w:p w14:paraId="3A20A4DF" w14:textId="77777777" w:rsidR="00DF09B4" w:rsidRDefault="00DF09B4" w:rsidP="00DF09B4">
      <w:r>
        <w:t>·       Launched new projects in the burgeoning renewable energy sector of Photovoltaic (PV)</w:t>
      </w:r>
    </w:p>
    <w:p w14:paraId="1161CB97" w14:textId="77777777" w:rsidR="00DF09B4" w:rsidRDefault="00DF09B4" w:rsidP="00DF09B4">
      <w:r>
        <w:t>·       The water desalination sector, since launching its first project in 2023, has achieved notable success.  The high performance of our initial projects has resulted in recurring demand from existing clients and generated significant interest from new customers, driven by strong customer satisfaction.  This success is further substantiated by the development of new projects, culminating in the recent commencement of operations at Egypt's largest fully solar-powered desalination plant.</w:t>
      </w:r>
    </w:p>
    <w:p w14:paraId="6FCC2BC1" w14:textId="77777777" w:rsidR="00DF09B4" w:rsidRDefault="00DF09B4" w:rsidP="00DF09B4">
      <w:r>
        <w:t xml:space="preserve"> </w:t>
      </w:r>
    </w:p>
    <w:p w14:paraId="06B78B65" w14:textId="77777777" w:rsidR="00DF09B4" w:rsidRDefault="00DF09B4" w:rsidP="00DF09B4">
      <w:r>
        <w:t>Projects under development:</w:t>
      </w:r>
    </w:p>
    <w:p w14:paraId="4A6B53F8" w14:textId="77777777" w:rsidR="00DF09B4" w:rsidRDefault="00DF09B4" w:rsidP="00DF09B4">
      <w:r>
        <w:t xml:space="preserve">·       TAQA Arabia together with </w:t>
      </w:r>
      <w:proofErr w:type="spellStart"/>
      <w:proofErr w:type="gramStart"/>
      <w:r>
        <w:t>Voltalia</w:t>
      </w:r>
      <w:proofErr w:type="spellEnd"/>
      <w:r>
        <w:t xml:space="preserve">  is</w:t>
      </w:r>
      <w:proofErr w:type="gramEnd"/>
      <w:r>
        <w:t xml:space="preserve"> leading the way in renewable energy with an unprecedented 3.2 GW hybrid project—a first for the country and the region.  Under an agreement with Egyptian authorities, the consortium will expand an existing 404 MW wind farm to include 2.1 GW of solar power, alongside 1.1 GW of wind capacity.  Resource assessment and environmental studies are currently being conducted.</w:t>
      </w:r>
    </w:p>
    <w:p w14:paraId="1281265E" w14:textId="77777777" w:rsidR="00DF09B4" w:rsidRDefault="00DF09B4" w:rsidP="00DF09B4">
      <w:r>
        <w:t xml:space="preserve">·       TAQA Arabia and </w:t>
      </w:r>
      <w:proofErr w:type="spellStart"/>
      <w:r>
        <w:t>Voltalia</w:t>
      </w:r>
      <w:proofErr w:type="spellEnd"/>
      <w:r>
        <w:t xml:space="preserve">, operating as a consortium, have entered into an agreement with the Egyptian government for the development of a 1 GW green hydrogen project. The project, utilizing 2.5 GW of solar and wind energy, is projected to yield 130 </w:t>
      </w:r>
      <w:proofErr w:type="spellStart"/>
      <w:r>
        <w:t>Kton</w:t>
      </w:r>
      <w:proofErr w:type="spellEnd"/>
      <w:r>
        <w:t xml:space="preserve"> of green hydrogen and 710 </w:t>
      </w:r>
      <w:proofErr w:type="spellStart"/>
      <w:r>
        <w:t>Kton</w:t>
      </w:r>
      <w:proofErr w:type="spellEnd"/>
      <w:r>
        <w:t xml:space="preserve"> of green </w:t>
      </w:r>
      <w:r>
        <w:lastRenderedPageBreak/>
        <w:t xml:space="preserve">ammonia per annum.  A tentative land allocation has been designated for both the renewable energy generation and the </w:t>
      </w:r>
      <w:proofErr w:type="spellStart"/>
      <w:r>
        <w:t>electrolyzer</w:t>
      </w:r>
      <w:proofErr w:type="spellEnd"/>
      <w:r>
        <w:t xml:space="preserve"> facilities.</w:t>
      </w:r>
    </w:p>
    <w:p w14:paraId="6A0BADE6" w14:textId="77777777" w:rsidR="00DF09B4" w:rsidRDefault="00DF09B4" w:rsidP="00DF09B4">
      <w:r>
        <w:t>Effective balance sheet management:</w:t>
      </w:r>
    </w:p>
    <w:p w14:paraId="5D1B334F" w14:textId="77777777" w:rsidR="00DF09B4" w:rsidRDefault="00DF09B4" w:rsidP="00DF09B4">
      <w:r>
        <w:t>·       Proactive cash flow management, mitigated risks associated with high interest rates.</w:t>
      </w:r>
    </w:p>
    <w:p w14:paraId="778C46F8" w14:textId="77777777" w:rsidR="00DF09B4" w:rsidRDefault="00DF09B4" w:rsidP="00DF09B4">
      <w:r>
        <w:t>·       Optimizing debt structure by retiring high-cost loans</w:t>
      </w:r>
    </w:p>
    <w:p w14:paraId="5B8BA02A" w14:textId="77777777" w:rsidR="00DF09B4" w:rsidRDefault="00DF09B4" w:rsidP="00DF09B4">
      <w:r>
        <w:t>·       Obtaining competitive loan terms through concessional debts with attractive interest rates</w:t>
      </w:r>
    </w:p>
    <w:p w14:paraId="168C3FB4" w14:textId="77777777" w:rsidR="00DF09B4" w:rsidRDefault="00DF09B4" w:rsidP="00DF09B4">
      <w:r>
        <w:t>·       In response to supply chain constraints and foreign currency limitations, a stockpiling initiative was undertaken. This strategy was implemented with careful consideration of inventory levels and their effect on the cost structure</w:t>
      </w:r>
    </w:p>
    <w:p w14:paraId="1D74AB11" w14:textId="77777777" w:rsidR="00DF09B4" w:rsidRDefault="00DF09B4" w:rsidP="00DF09B4">
      <w:r>
        <w:t xml:space="preserve"> </w:t>
      </w:r>
    </w:p>
    <w:p w14:paraId="1FD37A61" w14:textId="77777777" w:rsidR="00DF09B4" w:rsidRDefault="00DF09B4" w:rsidP="00DF09B4">
      <w:r>
        <w:t>Future Vision: Sustainable Growth and Transformation</w:t>
      </w:r>
    </w:p>
    <w:p w14:paraId="0F0A8E7E" w14:textId="77777777" w:rsidR="00DF09B4" w:rsidRDefault="00DF09B4" w:rsidP="00DF09B4">
      <w:r>
        <w:t>TAQA Arabia's future vision centers on sustainable growth and transformative initiatives, encompassing:</w:t>
      </w:r>
    </w:p>
    <w:p w14:paraId="2309348B" w14:textId="77777777" w:rsidR="00DF09B4" w:rsidRDefault="00DF09B4" w:rsidP="00DF09B4">
      <w:r>
        <w:t xml:space="preserve">Sustainability Leadership: We integrate environmental, social, and governance (ESG) standards into all our operations to cultivate sustainable and thriving communities.  A key component of this commitment is responsible water management, where we prioritize efficiency, innovation, and minimizing our carbon footprint.  This is exemplified by initiatives such as the development of renewable energy-powered desalination plants.  Furthermore, we are actively expanding our portfolio of low-carbon energy solutions, encompassing renewables, EV charging, hybrid systems, cogeneration, flare gas capturing, green hydrogen, natural gas vehicle conversions, and </w:t>
      </w:r>
      <w:proofErr w:type="spellStart"/>
      <w:r>
        <w:t>houshold</w:t>
      </w:r>
      <w:proofErr w:type="spellEnd"/>
      <w:r>
        <w:t xml:space="preserve"> natural gas connections, as another demonstration of our dedication to ESG principles.</w:t>
      </w:r>
    </w:p>
    <w:p w14:paraId="0BD10C92" w14:textId="77777777" w:rsidR="00DF09B4" w:rsidRDefault="00DF09B4" w:rsidP="00DF09B4">
      <w:r>
        <w:t>Strategic Expansion: Our diversification strategy targets high-growth markets in Africa and the Middle East, aiming to increase revenue and dollar-based income. Recent operational launches in Tanzania, Mozambique, and Saudi Arabia, coupled with ongoing pursuit of opportunities in Iraq and Libya, underscore this commitment</w:t>
      </w:r>
    </w:p>
    <w:p w14:paraId="291FAFB4" w14:textId="77777777" w:rsidR="00DF09B4" w:rsidRDefault="00DF09B4" w:rsidP="00DF09B4">
      <w:r>
        <w:t>Technology-Driven Transformation: We are enhancing customer experience through user-friendly interfaces providing seamless access to information. Operational automation, from energy sources to customer delivery, is underway to maximize efficiency, minimize waste, and enable early detection of inefficiencies or leaks.</w:t>
      </w:r>
    </w:p>
    <w:p w14:paraId="37E7A603" w14:textId="77777777" w:rsidR="00DF09B4" w:rsidRDefault="00DF09B4" w:rsidP="00DF09B4">
      <w:r>
        <w:t>Comprehensive Portfolio: Our adaptability is key to meeting evolving client needs.  We continually expand our service offerings, as demonstrated by our comprehensive approach to vehicle fueling.  This includes everything from CNG and electric vehicle solutions to traditional petroleum products.  Furthermore, we address the needs of small and medium commercial and industrial energy consumers, especially in countries with underdeveloped gas infrastructure, through mobile CNG solutions.</w:t>
      </w:r>
    </w:p>
    <w:p w14:paraId="3436F719" w14:textId="77777777" w:rsidR="00DF09B4" w:rsidRDefault="00DF09B4" w:rsidP="00DF09B4">
      <w:r>
        <w:t>Consolidated Revenues</w:t>
      </w:r>
    </w:p>
    <w:p w14:paraId="4175CB7D" w14:textId="5FFB3CD8" w:rsidR="00DF09B4" w:rsidRDefault="00DF09B4" w:rsidP="00DF09B4">
      <w:r>
        <w:t>T</w:t>
      </w:r>
      <w:r>
        <w:t>AQA Arabia achieved exceptional growth in 2024, nearly doubling its revenue over the past two years. This robust performance, with a 40% revenue surge to EGP 18.905 billion in 2024 alone, demonstrates the successful execution of our strategic goals across all business segments.</w:t>
      </w:r>
    </w:p>
    <w:p w14:paraId="74262E28" w14:textId="445A15FE" w:rsidR="00DF09B4" w:rsidRDefault="00DF09B4" w:rsidP="00DF09B4">
      <w:r>
        <w:lastRenderedPageBreak/>
        <w:t xml:space="preserve"> The Petroleum division led TAQA Arabia's growth, achieving a substantial 33.6% revenue increase to EGP 10.5 billion compared to EGP 7.4 billion in the previous year. This strong performance was driven by a 6.4% rise in fuel sales volumes, further supported by multiple fuel price adjustments implemented in 2023 and 2024.</w:t>
      </w:r>
    </w:p>
    <w:p w14:paraId="74605CBC" w14:textId="4F0A7DD9" w:rsidR="00DF09B4" w:rsidRDefault="00DF09B4" w:rsidP="00DF09B4">
      <w:r>
        <w:t xml:space="preserve"> The Power division achieved significant growth, with revenue surging 47.7% to EGP 3,531 million. This growth was driven by two price hikes implemented in 2024, increased volumes from new PV projects and higher consumption across key sectors, and the positive impact of foreign currency appreciation on hard currency-based power purchase agreements.</w:t>
      </w:r>
    </w:p>
    <w:p w14:paraId="3E7EA93F" w14:textId="608AE019" w:rsidR="00DF09B4" w:rsidRDefault="00DF09B4" w:rsidP="00DF09B4">
      <w:r>
        <w:t xml:space="preserve"> The Gas Division delivered strong growth, with revenues reaching EGP 4,854 million, a remarkable 30.7% increase year-over-year. This success was driven by the expansion of our CNG network with 5 new stations, two CNG price hikes in 2024, and the full-year impact of previous price adjustments. Additionally, the expansion of the Gas connection network in </w:t>
      </w:r>
      <w:proofErr w:type="spellStart"/>
      <w:r>
        <w:t>Hurghada</w:t>
      </w:r>
      <w:proofErr w:type="spellEnd"/>
      <w:r>
        <w:t xml:space="preserve"> and the positive impact of the devaluation of the Egyptian Pound on regional operations company revenues contributed to this growth.</w:t>
      </w:r>
    </w:p>
    <w:p w14:paraId="1C2FA490" w14:textId="77777777" w:rsidR="00DF09B4" w:rsidRDefault="00DF09B4" w:rsidP="00DF09B4">
      <w:r>
        <w:t>TAQA's Regional expansion strategy, marked by key milestones such as entering the Tanzanian and Mozambican markets and forming a joint venture in Saudi Arabia, has proven successful. Gas regional Business revenues demonstrated strong growth, increasing from EGP 109 million in 2023 to EGP 234 million.</w:t>
      </w:r>
    </w:p>
    <w:p w14:paraId="3ACC3634" w14:textId="4AC3F8FF" w:rsidR="00DF09B4" w:rsidRDefault="00DF09B4" w:rsidP="00DF09B4">
      <w:r>
        <w:t xml:space="preserve"> TAQA Water division significantly expanded its operations in 2024, operating 9 new projects with a combined capacity of 18,000 cubic meters per day. This expansion resulted in a remarkable 231% revenue increase, reaching EGP 52 million. This strong performance validates the success of the Desalination division and reinforces the strategic decision to enter this market.</w:t>
      </w:r>
    </w:p>
    <w:p w14:paraId="3B994192" w14:textId="5B342747" w:rsidR="00DF09B4" w:rsidRDefault="00DF09B4" w:rsidP="00DF09B4">
      <w:r>
        <w:t xml:space="preserve"> This strong performance reinforces TAQA Arabia's commitment to sustainable energy solutions and regional economic growth. By building a diversified and robust business portfolio, we are confident in our ability to sustain this momentum and achieve even greater success in the future.</w:t>
      </w:r>
    </w:p>
    <w:p w14:paraId="2706CBC6" w14:textId="77777777" w:rsidR="00DF09B4" w:rsidRDefault="00DF09B4" w:rsidP="00DF09B4">
      <w:r>
        <w:t>Consolidated EBITDA</w:t>
      </w:r>
    </w:p>
    <w:p w14:paraId="62EBB523" w14:textId="77777777" w:rsidR="00DF09B4" w:rsidRDefault="00DF09B4" w:rsidP="00DF09B4">
      <w:r>
        <w:t>TAQA Arabia achieved a remarkable 34.6% growth in 2024 EBITDA, reaching EGP 2,003.3 million. This growth was driven by several factors, including:</w:t>
      </w:r>
    </w:p>
    <w:p w14:paraId="5F85F9C0" w14:textId="77777777" w:rsidR="00DF09B4" w:rsidRDefault="00DF09B4" w:rsidP="00DF09B4">
      <w:r>
        <w:t>·       Improved margins: Higher margins across Fuel, CNG, and Electricity segments.</w:t>
      </w:r>
    </w:p>
    <w:p w14:paraId="31CB22FA" w14:textId="77777777" w:rsidR="00DF09B4" w:rsidRDefault="00DF09B4" w:rsidP="00DF09B4">
      <w:r>
        <w:t>·       Increased volumes: New station openings for Fuel and CNG positively impacted sales volumes.</w:t>
      </w:r>
    </w:p>
    <w:p w14:paraId="59099DB2" w14:textId="77777777" w:rsidR="00DF09B4" w:rsidRDefault="00DF09B4" w:rsidP="00DF09B4">
      <w:r>
        <w:t xml:space="preserve">·       Operational enhancements: The commencement of the Alexandria terminal in July 2024, the launch of new projects in PV and water desalination and expanding Gas connection network in </w:t>
      </w:r>
      <w:proofErr w:type="spellStart"/>
      <w:r>
        <w:t>Hurghada</w:t>
      </w:r>
      <w:proofErr w:type="spellEnd"/>
    </w:p>
    <w:p w14:paraId="60F39D70" w14:textId="77777777" w:rsidR="00DF09B4" w:rsidRDefault="00DF09B4" w:rsidP="00DF09B4">
      <w:r>
        <w:t>·       Regional expansion: Entering new markets in Africa and the Middle East.</w:t>
      </w:r>
    </w:p>
    <w:p w14:paraId="3BD116E9" w14:textId="77777777" w:rsidR="00DF09B4" w:rsidRDefault="00DF09B4" w:rsidP="00DF09B4">
      <w:r>
        <w:t>Net income</w:t>
      </w:r>
    </w:p>
    <w:p w14:paraId="4F7E71CA" w14:textId="77777777" w:rsidR="00DF09B4" w:rsidRDefault="00DF09B4" w:rsidP="00DF09B4">
      <w:r>
        <w:t>TAQA Arabia achieved a remarkable 26.7% increase in net income in 2024 despite facing significant headwinds. These challenges included substantial rate increases and local devaluation; However, proactive management initiatives effectively mitigated these challenges, driving this strong financial performance.</w:t>
      </w:r>
    </w:p>
    <w:p w14:paraId="40E032AA" w14:textId="77777777" w:rsidR="00DF09B4" w:rsidRDefault="00DF09B4" w:rsidP="00DF09B4">
      <w:r>
        <w:lastRenderedPageBreak/>
        <w:t>·       Reduced reliance on costly financing facilities through better cash management</w:t>
      </w:r>
    </w:p>
    <w:p w14:paraId="74048D41" w14:textId="77777777" w:rsidR="00DF09B4" w:rsidRDefault="00DF09B4" w:rsidP="00DF09B4">
      <w:r>
        <w:t>·       Secured favorable loan interest rates</w:t>
      </w:r>
    </w:p>
    <w:p w14:paraId="6DABED39" w14:textId="77777777" w:rsidR="00DF09B4" w:rsidRDefault="00DF09B4" w:rsidP="00DF09B4">
      <w:r>
        <w:t>·       The early repayment of certain high-interest loans.</w:t>
      </w:r>
    </w:p>
    <w:p w14:paraId="55D0D122" w14:textId="77777777" w:rsidR="00DF09B4" w:rsidRDefault="00DF09B4" w:rsidP="00DF09B4">
      <w:r>
        <w:t>Overview on TAQA Arabia</w:t>
      </w:r>
    </w:p>
    <w:p w14:paraId="16F6B342" w14:textId="77777777" w:rsidR="00DF09B4" w:rsidRDefault="00DF09B4" w:rsidP="00DF09B4">
      <w:r>
        <w:t>TAQA Arabia is Egypt’s leading private sector group in energy distribution and its integrated services providing its wide range of services to customers’ needs in Egypt, Africa and MENA regions. The Group serves more than 1.7 million domestic, industrial, touristic, and commercial customers with their daily needs of natural gas, electricity, renewable energy, petroleum products, and water in 50 Egyptian cities.</w:t>
      </w:r>
    </w:p>
    <w:p w14:paraId="1147A007" w14:textId="77777777" w:rsidR="00DF09B4" w:rsidRDefault="00DF09B4" w:rsidP="00DF09B4">
      <w:r>
        <w:t>TAQA Arabia invests, constructs, operates, and maintains energy infrastructure including gas transmission &amp; distribution in 8 Egyptian governorates, conventional and renewable power generation &amp; distribution, water treatment and desalination services, as well as marketing oil products and lubricants throughout several retail fuel stations across the country.</w:t>
      </w:r>
    </w:p>
    <w:p w14:paraId="4F5E49A8" w14:textId="77777777" w:rsidR="00DF09B4" w:rsidRDefault="00DF09B4" w:rsidP="00DF09B4">
      <w:r>
        <w:t>Through its subsidiary "Master Gas", the company operates extensive number of CNG stations and conversion centers, as well as providing off-grid customers with Mobile CNG services to deliver gas to areas far from the natural gas grid across Egypt and the region.</w:t>
      </w:r>
    </w:p>
    <w:p w14:paraId="6F3C881F" w14:textId="77777777" w:rsidR="00DF09B4" w:rsidRDefault="00DF09B4" w:rsidP="00DF09B4">
      <w:r>
        <w:t>Forward-Looking Statement</w:t>
      </w:r>
    </w:p>
    <w:p w14:paraId="003F0227" w14:textId="77777777" w:rsidR="00DF09B4" w:rsidRDefault="00DF09B4" w:rsidP="00DF09B4">
      <w:r>
        <w:t>This communication contains certain forward-looking statements.  A forward-looking statement is any statement that does not relate to historical facts and events, and can be identified by the use of such words and phrases as “according to estimates”, “anticipates”, “assumes”, “believes”, “could”, “estimates”, “expects”, “intends”, “is of the opinion”, “may”, “plans”, “potential”, “predicts”, “projects”, “should”, “to the knowledge of”, “will”, “would” or, in each case their negatives or other similar expressions, which are intended to identify a statement as forward-looking.  This applies, in particular, to statements containing information on future financial results, plans or expectations regarding the Company’s business and management, the Company’s future growth or profitability and general economic and regulatory conditions and other matters affecting the Company.</w:t>
      </w:r>
    </w:p>
    <w:p w14:paraId="7CC569BC" w14:textId="678784D1" w:rsidR="00DF09B4" w:rsidRDefault="00DF09B4" w:rsidP="00DF09B4">
      <w:r>
        <w:t>Forward-looking statements reflect the Company’s management’s (“Management”) current views of future events, are based on Management’s assumptions, and involve known and unknown risks, uncertainties and other factors that may cause the Company’s actual results, performance or achievements to be materially different from any future results, performance or achievements expressed or implied by these forward-looking statements.  The Company’s business is subject to a number of risks and uncertainties that could also cause a forward-looking statement, estimate or prediction to become inaccurate. The company does not undertake any obligation to review, update, confirm or to release publicly any revisions to any forward-looking statements to reflect events occur or circumstances that arise in relation to the content of this communication.</w:t>
      </w:r>
    </w:p>
    <w:sectPr w:rsidR="00DF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4"/>
    <w:rsid w:val="003251BC"/>
    <w:rsid w:val="003533FF"/>
    <w:rsid w:val="007C1E78"/>
    <w:rsid w:val="00C51F1D"/>
    <w:rsid w:val="00DF09B4"/>
    <w:rsid w:val="00EB6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1543"/>
  <w15:chartTrackingRefBased/>
  <w15:docId w15:val="{FFBB0AB8-82B8-4C72-874E-09BEE65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9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9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9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9B4"/>
    <w:rPr>
      <w:rFonts w:eastAsiaTheme="majorEastAsia" w:cstheme="majorBidi"/>
      <w:color w:val="272727" w:themeColor="text1" w:themeTint="D8"/>
    </w:rPr>
  </w:style>
  <w:style w:type="paragraph" w:styleId="Title">
    <w:name w:val="Title"/>
    <w:basedOn w:val="Normal"/>
    <w:next w:val="Normal"/>
    <w:link w:val="TitleChar"/>
    <w:uiPriority w:val="10"/>
    <w:qFormat/>
    <w:rsid w:val="00DF0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9B4"/>
    <w:pPr>
      <w:spacing w:before="160"/>
      <w:jc w:val="center"/>
    </w:pPr>
    <w:rPr>
      <w:i/>
      <w:iCs/>
      <w:color w:val="404040" w:themeColor="text1" w:themeTint="BF"/>
    </w:rPr>
  </w:style>
  <w:style w:type="character" w:customStyle="1" w:styleId="QuoteChar">
    <w:name w:val="Quote Char"/>
    <w:basedOn w:val="DefaultParagraphFont"/>
    <w:link w:val="Quote"/>
    <w:uiPriority w:val="29"/>
    <w:rsid w:val="00DF09B4"/>
    <w:rPr>
      <w:i/>
      <w:iCs/>
      <w:color w:val="404040" w:themeColor="text1" w:themeTint="BF"/>
    </w:rPr>
  </w:style>
  <w:style w:type="paragraph" w:styleId="ListParagraph">
    <w:name w:val="List Paragraph"/>
    <w:basedOn w:val="Normal"/>
    <w:uiPriority w:val="34"/>
    <w:qFormat/>
    <w:rsid w:val="00DF09B4"/>
    <w:pPr>
      <w:ind w:left="720"/>
      <w:contextualSpacing/>
    </w:pPr>
  </w:style>
  <w:style w:type="character" w:styleId="IntenseEmphasis">
    <w:name w:val="Intense Emphasis"/>
    <w:basedOn w:val="DefaultParagraphFont"/>
    <w:uiPriority w:val="21"/>
    <w:qFormat/>
    <w:rsid w:val="00DF09B4"/>
    <w:rPr>
      <w:i/>
      <w:iCs/>
      <w:color w:val="2F5496" w:themeColor="accent1" w:themeShade="BF"/>
    </w:rPr>
  </w:style>
  <w:style w:type="paragraph" w:styleId="IntenseQuote">
    <w:name w:val="Intense Quote"/>
    <w:basedOn w:val="Normal"/>
    <w:next w:val="Normal"/>
    <w:link w:val="IntenseQuoteChar"/>
    <w:uiPriority w:val="30"/>
    <w:qFormat/>
    <w:rsid w:val="00DF0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9B4"/>
    <w:rPr>
      <w:i/>
      <w:iCs/>
      <w:color w:val="2F5496" w:themeColor="accent1" w:themeShade="BF"/>
    </w:rPr>
  </w:style>
  <w:style w:type="character" w:styleId="IntenseReference">
    <w:name w:val="Intense Reference"/>
    <w:basedOn w:val="DefaultParagraphFont"/>
    <w:uiPriority w:val="32"/>
    <w:qFormat/>
    <w:rsid w:val="00DF0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2025-03-06T08:28:00Z</dcterms:created>
  <dcterms:modified xsi:type="dcterms:W3CDTF">2025-03-06T08:31:00Z</dcterms:modified>
</cp:coreProperties>
</file>