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7655" w:type="dxa"/>
        <w:tblBorders>
          <w:top w:val="none" w:sz="0" w:space="0" w:color="auto"/>
          <w:left w:val="none" w:sz="0" w:space="0" w:color="auto"/>
          <w:right w:val="none" w:sz="0" w:space="0" w:color="auto"/>
          <w:insideH w:val="none" w:sz="0" w:space="0" w:color="auto"/>
          <w:insideV w:val="none" w:sz="0" w:space="0" w:color="auto"/>
        </w:tblBorders>
        <w:tblLayout w:type="fixed"/>
        <w:tblCellMar>
          <w:top w:w="284" w:type="dxa"/>
          <w:left w:w="0" w:type="dxa"/>
          <w:right w:w="0" w:type="dxa"/>
        </w:tblCellMar>
        <w:tblLook w:val="04A0" w:firstRow="1" w:lastRow="0" w:firstColumn="1" w:lastColumn="0" w:noHBand="0" w:noVBand="1"/>
      </w:tblPr>
      <w:tblGrid>
        <w:gridCol w:w="7655"/>
      </w:tblGrid>
      <w:tr w:rsidR="003868C5" w:rsidRPr="00235707" w14:paraId="21003AA5" w14:textId="77777777" w:rsidTr="00B72487">
        <w:trPr>
          <w:trHeight w:val="1266"/>
        </w:trPr>
        <w:tc>
          <w:tcPr>
            <w:tcW w:w="7655" w:type="dxa"/>
            <w:tcBorders>
              <w:top w:val="single" w:sz="4" w:space="0" w:color="auto"/>
              <w:bottom w:val="nil"/>
            </w:tcBorders>
          </w:tcPr>
          <w:p w14:paraId="6ECE0C96" w14:textId="53312CF7" w:rsidR="00851603" w:rsidRDefault="002A3E42" w:rsidP="00851603">
            <w:pPr>
              <w:spacing w:line="276" w:lineRule="auto"/>
              <w:ind w:right="1273"/>
              <w:rPr>
                <w:rFonts w:eastAsiaTheme="majorEastAsia" w:cstheme="majorBidi"/>
                <w:caps/>
                <w:color w:val="000000" w:themeColor="text1"/>
                <w:spacing w:val="2"/>
                <w:kern w:val="28"/>
                <w:sz w:val="28"/>
                <w:szCs w:val="26"/>
                <w:lang w:val="en-GB"/>
              </w:rPr>
            </w:pPr>
            <w:r w:rsidRPr="002A3E42">
              <w:rPr>
                <w:rFonts w:eastAsiaTheme="majorEastAsia" w:cstheme="majorBidi"/>
                <w:caps/>
                <w:color w:val="000000" w:themeColor="text1"/>
                <w:spacing w:val="2"/>
                <w:kern w:val="28"/>
                <w:sz w:val="28"/>
                <w:szCs w:val="26"/>
                <w:lang w:val="en-GB"/>
              </w:rPr>
              <w:t xml:space="preserve">New BU MENA kicks off work </w:t>
            </w:r>
          </w:p>
          <w:p w14:paraId="163DBDF7" w14:textId="3F5B204D" w:rsidR="005C1DC0" w:rsidRDefault="00A9742C" w:rsidP="002A3E42">
            <w:pPr>
              <w:pStyle w:val="Listenabsatz"/>
              <w:numPr>
                <w:ilvl w:val="0"/>
                <w:numId w:val="29"/>
              </w:numPr>
              <w:spacing w:line="276" w:lineRule="auto"/>
              <w:ind w:right="1273"/>
              <w:rPr>
                <w:noProof/>
                <w:sz w:val="24"/>
                <w:szCs w:val="24"/>
                <w:lang w:val="en-GB"/>
              </w:rPr>
            </w:pPr>
            <w:r>
              <w:rPr>
                <w:noProof/>
                <w:sz w:val="24"/>
                <w:szCs w:val="24"/>
                <w:lang w:val="en-GB"/>
              </w:rPr>
              <w:t>Change</w:t>
            </w:r>
            <w:r w:rsidR="005C1DC0">
              <w:rPr>
                <w:noProof/>
                <w:sz w:val="24"/>
                <w:szCs w:val="24"/>
                <w:lang w:val="en-GB"/>
              </w:rPr>
              <w:t xml:space="preserve"> </w:t>
            </w:r>
            <w:r w:rsidR="002E2B92">
              <w:rPr>
                <w:noProof/>
                <w:sz w:val="24"/>
                <w:szCs w:val="24"/>
                <w:lang w:val="en-GB"/>
              </w:rPr>
              <w:t xml:space="preserve">is </w:t>
            </w:r>
            <w:r w:rsidR="005C1DC0">
              <w:rPr>
                <w:noProof/>
                <w:sz w:val="24"/>
                <w:szCs w:val="24"/>
                <w:lang w:val="en-GB"/>
              </w:rPr>
              <w:t xml:space="preserve">part of </w:t>
            </w:r>
            <w:r>
              <w:rPr>
                <w:noProof/>
                <w:sz w:val="24"/>
                <w:szCs w:val="24"/>
                <w:lang w:val="en-GB"/>
              </w:rPr>
              <w:t xml:space="preserve">broader </w:t>
            </w:r>
            <w:r w:rsidR="005C1DC0">
              <w:rPr>
                <w:noProof/>
                <w:sz w:val="24"/>
                <w:szCs w:val="24"/>
                <w:lang w:val="en-GB"/>
              </w:rPr>
              <w:t xml:space="preserve">company restructuring </w:t>
            </w:r>
          </w:p>
          <w:p w14:paraId="777A118D" w14:textId="274A94F7" w:rsidR="002A3E42" w:rsidRPr="00ED0CBB" w:rsidRDefault="002A3E42" w:rsidP="00ED0CBB">
            <w:pPr>
              <w:pStyle w:val="Listenabsatz"/>
              <w:numPr>
                <w:ilvl w:val="0"/>
                <w:numId w:val="29"/>
              </w:numPr>
              <w:spacing w:line="276" w:lineRule="auto"/>
              <w:ind w:right="1273"/>
              <w:rPr>
                <w:noProof/>
                <w:sz w:val="24"/>
                <w:szCs w:val="24"/>
                <w:lang w:val="en-GB"/>
              </w:rPr>
            </w:pPr>
            <w:r>
              <w:rPr>
                <w:noProof/>
                <w:sz w:val="24"/>
                <w:szCs w:val="24"/>
                <w:lang w:val="en-GB"/>
              </w:rPr>
              <w:t>Sameh Sa</w:t>
            </w:r>
            <w:r w:rsidR="00406C1F">
              <w:rPr>
                <w:noProof/>
                <w:sz w:val="24"/>
                <w:szCs w:val="24"/>
                <w:lang w:val="en-GB"/>
              </w:rPr>
              <w:t>b</w:t>
            </w:r>
            <w:r>
              <w:rPr>
                <w:noProof/>
                <w:sz w:val="24"/>
                <w:szCs w:val="24"/>
                <w:lang w:val="en-GB"/>
              </w:rPr>
              <w:t xml:space="preserve">ry appointed as SVP MENA </w:t>
            </w:r>
          </w:p>
        </w:tc>
      </w:tr>
    </w:tbl>
    <w:p w14:paraId="20D69F7D" w14:textId="77777777" w:rsidR="001F675B" w:rsidRPr="00F82AF7" w:rsidRDefault="001F675B" w:rsidP="0063308B">
      <w:pPr>
        <w:ind w:right="1273"/>
        <w:rPr>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Pr>
      <w:tblGrid>
        <w:gridCol w:w="2552"/>
        <w:gridCol w:w="2551"/>
        <w:gridCol w:w="2552"/>
      </w:tblGrid>
      <w:tr w:rsidR="00716AD6" w:rsidRPr="00EF003D" w14:paraId="13958104" w14:textId="77777777" w:rsidTr="35E5F7D4">
        <w:trPr>
          <w:trHeight w:val="425"/>
        </w:trPr>
        <w:tc>
          <w:tcPr>
            <w:tcW w:w="2552" w:type="dxa"/>
            <w:tcBorders>
              <w:top w:val="nil"/>
            </w:tcBorders>
            <w:tcMar>
              <w:top w:w="113" w:type="dxa"/>
            </w:tcMar>
          </w:tcPr>
          <w:p w14:paraId="64B14631" w14:textId="77777777" w:rsidR="00716AD6" w:rsidRPr="00EF003D" w:rsidRDefault="00627455" w:rsidP="005F27DC">
            <w:pPr>
              <w:pStyle w:val="Textklein"/>
              <w:ind w:right="1273"/>
              <w:rPr>
                <w:szCs w:val="13"/>
              </w:rPr>
            </w:pPr>
            <w:r w:rsidRPr="00EF003D">
              <w:rPr>
                <w:szCs w:val="13"/>
              </w:rPr>
              <w:t>Date</w:t>
            </w:r>
            <w:r w:rsidR="00716AD6" w:rsidRPr="00EF003D">
              <w:rPr>
                <w:szCs w:val="13"/>
              </w:rPr>
              <w:t>:</w:t>
            </w:r>
          </w:p>
          <w:p w14:paraId="7FDEA016" w14:textId="0888437C" w:rsidR="00716AD6" w:rsidRPr="00EF003D" w:rsidRDefault="004E0AEE" w:rsidP="35E5F7D4">
            <w:pPr>
              <w:pStyle w:val="Datum"/>
              <w:ind w:right="1273"/>
              <w:rPr>
                <w:noProof/>
              </w:rPr>
            </w:pPr>
            <w:r>
              <w:rPr>
                <w:noProof/>
              </w:rPr>
              <w:t>01.02.</w:t>
            </w:r>
            <w:r w:rsidR="710F81C5" w:rsidRPr="006A5A9C">
              <w:rPr>
                <w:noProof/>
              </w:rPr>
              <w:t>202</w:t>
            </w:r>
            <w:r w:rsidR="00120200">
              <w:rPr>
                <w:noProof/>
              </w:rPr>
              <w:t>4</w:t>
            </w:r>
          </w:p>
        </w:tc>
        <w:tc>
          <w:tcPr>
            <w:tcW w:w="2551" w:type="dxa"/>
            <w:tcBorders>
              <w:top w:val="nil"/>
            </w:tcBorders>
          </w:tcPr>
          <w:p w14:paraId="1AB0677A" w14:textId="77777777" w:rsidR="00716AD6" w:rsidRPr="00EF003D" w:rsidRDefault="00716AD6" w:rsidP="008B0819">
            <w:pPr>
              <w:pStyle w:val="Textklein"/>
            </w:pPr>
          </w:p>
          <w:p w14:paraId="7C7E73FB" w14:textId="1C25AB9D" w:rsidR="00716AD6" w:rsidRPr="00EF003D" w:rsidRDefault="00716AD6" w:rsidP="00404B07">
            <w:pPr>
              <w:pStyle w:val="Textklein"/>
              <w:rPr>
                <w:sz w:val="16"/>
                <w:szCs w:val="16"/>
              </w:rPr>
            </w:pPr>
          </w:p>
        </w:tc>
        <w:tc>
          <w:tcPr>
            <w:tcW w:w="2552" w:type="dxa"/>
            <w:tcBorders>
              <w:top w:val="nil"/>
            </w:tcBorders>
            <w:tcMar>
              <w:top w:w="113" w:type="dxa"/>
            </w:tcMar>
          </w:tcPr>
          <w:p w14:paraId="1A345B06" w14:textId="77777777" w:rsidR="00716AD6" w:rsidRPr="00EF003D" w:rsidRDefault="00627455" w:rsidP="00591656">
            <w:pPr>
              <w:pStyle w:val="Textklein"/>
              <w:ind w:left="570"/>
              <w:rPr>
                <w:szCs w:val="13"/>
              </w:rPr>
            </w:pPr>
            <w:r w:rsidRPr="00EF003D">
              <w:rPr>
                <w:szCs w:val="13"/>
              </w:rPr>
              <w:t>Page</w:t>
            </w:r>
            <w:r w:rsidR="00D431D5" w:rsidRPr="00EF003D">
              <w:rPr>
                <w:szCs w:val="13"/>
              </w:rPr>
              <w:t>:</w:t>
            </w:r>
          </w:p>
          <w:p w14:paraId="6594ABF3" w14:textId="4D04165A" w:rsidR="00716AD6" w:rsidRPr="00EF003D" w:rsidRDefault="004E0AEE" w:rsidP="00591656">
            <w:pPr>
              <w:pStyle w:val="Kontaktinfo"/>
              <w:ind w:left="570"/>
            </w:pPr>
            <w:r w:rsidRPr="004E0AEE">
              <w:t>1</w:t>
            </w:r>
            <w:r w:rsidR="00627455" w:rsidRPr="004E0AEE">
              <w:t xml:space="preserve"> of</w:t>
            </w:r>
            <w:r w:rsidR="00716AD6" w:rsidRPr="004E0AEE">
              <w:t xml:space="preserve"> </w:t>
            </w:r>
            <w:r>
              <w:rPr>
                <w:noProof/>
              </w:rPr>
              <w:t>3</w:t>
            </w:r>
          </w:p>
        </w:tc>
      </w:tr>
    </w:tbl>
    <w:p w14:paraId="698333F8" w14:textId="77777777" w:rsidR="007F2F58" w:rsidRPr="00EF003D" w:rsidRDefault="007F2F58" w:rsidP="00FF196F">
      <w:pPr>
        <w:ind w:right="1415"/>
        <w:rPr>
          <w:b/>
        </w:rPr>
      </w:pPr>
    </w:p>
    <w:p w14:paraId="696D8FCD" w14:textId="77777777" w:rsidR="007F2F58" w:rsidRPr="00EF003D" w:rsidRDefault="007F2F58" w:rsidP="00FF196F">
      <w:pPr>
        <w:ind w:right="1415"/>
        <w:rPr>
          <w:b/>
        </w:rPr>
      </w:pPr>
    </w:p>
    <w:p w14:paraId="16F76583" w14:textId="79373757" w:rsidR="00F82AF7" w:rsidRDefault="00F82AF7" w:rsidP="002757ED">
      <w:pPr>
        <w:spacing w:line="360" w:lineRule="auto"/>
        <w:ind w:right="1415"/>
        <w:jc w:val="both"/>
        <w:rPr>
          <w:sz w:val="22"/>
          <w:lang w:val="en-GB"/>
        </w:rPr>
      </w:pPr>
      <w:r w:rsidRPr="00F82AF7">
        <w:rPr>
          <w:sz w:val="22"/>
          <w:lang w:val="en-GB"/>
        </w:rPr>
        <w:t xml:space="preserve">As of 1 February, </w:t>
      </w:r>
      <w:r w:rsidR="002757ED">
        <w:rPr>
          <w:sz w:val="22"/>
          <w:lang w:val="en-GB"/>
        </w:rPr>
        <w:t>a</w:t>
      </w:r>
      <w:r w:rsidR="002757ED" w:rsidRPr="002757ED">
        <w:rPr>
          <w:sz w:val="22"/>
          <w:lang w:val="en-GB"/>
        </w:rPr>
        <w:t>ctivities in Algeria, Egypt, Libya and the United Arab Emirates will in future be led under a joint business unit for the MENA region.</w:t>
      </w:r>
      <w:r w:rsidR="002757ED">
        <w:rPr>
          <w:sz w:val="22"/>
          <w:lang w:val="en-GB"/>
        </w:rPr>
        <w:t xml:space="preserve"> </w:t>
      </w:r>
      <w:r w:rsidRPr="00F82AF7">
        <w:rPr>
          <w:sz w:val="22"/>
          <w:lang w:val="en-GB"/>
        </w:rPr>
        <w:t xml:space="preserve">These changes </w:t>
      </w:r>
      <w:r w:rsidR="002757ED" w:rsidRPr="002757ED">
        <w:rPr>
          <w:sz w:val="22"/>
          <w:lang w:val="en-GB"/>
        </w:rPr>
        <w:t xml:space="preserve">to the company’s international business </w:t>
      </w:r>
      <w:r w:rsidRPr="00F82AF7">
        <w:rPr>
          <w:sz w:val="22"/>
          <w:lang w:val="en-GB"/>
        </w:rPr>
        <w:t xml:space="preserve">are part of </w:t>
      </w:r>
      <w:r w:rsidR="00E63AA2">
        <w:rPr>
          <w:sz w:val="22"/>
          <w:lang w:val="en-GB"/>
        </w:rPr>
        <w:t>the</w:t>
      </w:r>
      <w:r w:rsidR="00E63AA2" w:rsidRPr="00F82AF7">
        <w:rPr>
          <w:sz w:val="22"/>
          <w:lang w:val="en-GB"/>
        </w:rPr>
        <w:t xml:space="preserve"> </w:t>
      </w:r>
      <w:r w:rsidRPr="00F82AF7">
        <w:rPr>
          <w:sz w:val="22"/>
          <w:lang w:val="en-GB"/>
        </w:rPr>
        <w:t>broader company restructuring</w:t>
      </w:r>
      <w:r w:rsidR="00E63AA2">
        <w:rPr>
          <w:sz w:val="22"/>
          <w:lang w:val="en-GB"/>
        </w:rPr>
        <w:t xml:space="preserve"> announced</w:t>
      </w:r>
      <w:r w:rsidRPr="00F82AF7">
        <w:rPr>
          <w:sz w:val="22"/>
          <w:lang w:val="en-GB"/>
        </w:rPr>
        <w:t xml:space="preserve"> in September 2023. </w:t>
      </w:r>
    </w:p>
    <w:p w14:paraId="4C6949DE" w14:textId="77777777" w:rsidR="005172EA" w:rsidRDefault="005172EA" w:rsidP="00F82AF7">
      <w:pPr>
        <w:spacing w:line="360" w:lineRule="auto"/>
        <w:ind w:right="1415"/>
        <w:jc w:val="both"/>
        <w:rPr>
          <w:sz w:val="22"/>
          <w:lang w:val="en-GB"/>
        </w:rPr>
      </w:pPr>
    </w:p>
    <w:p w14:paraId="5BC31320" w14:textId="32CBA7B6" w:rsidR="005631E9" w:rsidRPr="0080574F" w:rsidRDefault="005631E9" w:rsidP="003C10F8">
      <w:pPr>
        <w:spacing w:line="360" w:lineRule="auto"/>
        <w:ind w:right="1415"/>
        <w:jc w:val="both"/>
        <w:rPr>
          <w:sz w:val="22"/>
          <w:lang w:val="en-GB"/>
        </w:rPr>
      </w:pPr>
      <w:r w:rsidRPr="00ED2708">
        <w:rPr>
          <w:sz w:val="22"/>
          <w:lang w:val="en-GB"/>
        </w:rPr>
        <w:t>Sameh Sabry has</w:t>
      </w:r>
      <w:r w:rsidRPr="005631E9">
        <w:rPr>
          <w:sz w:val="22"/>
          <w:lang w:val="en-GB"/>
        </w:rPr>
        <w:t xml:space="preserve"> been appointed to lead the newly established business unit</w:t>
      </w:r>
      <w:r w:rsidR="00ED2708">
        <w:rPr>
          <w:sz w:val="22"/>
          <w:lang w:val="en-GB"/>
        </w:rPr>
        <w:t xml:space="preserve">. </w:t>
      </w:r>
      <w:r w:rsidR="00480272" w:rsidRPr="00641AEA">
        <w:rPr>
          <w:sz w:val="22"/>
          <w:lang w:val="en-GB"/>
        </w:rPr>
        <w:t>With 2</w:t>
      </w:r>
      <w:r w:rsidR="00480272">
        <w:rPr>
          <w:sz w:val="22"/>
          <w:lang w:val="en-GB"/>
        </w:rPr>
        <w:t>3</w:t>
      </w:r>
      <w:r w:rsidR="00480272" w:rsidRPr="00641AEA">
        <w:rPr>
          <w:sz w:val="22"/>
          <w:lang w:val="en-GB"/>
        </w:rPr>
        <w:t xml:space="preserve"> years </w:t>
      </w:r>
      <w:r w:rsidR="00FB6B3F">
        <w:rPr>
          <w:sz w:val="22"/>
          <w:lang w:val="en-GB"/>
        </w:rPr>
        <w:t xml:space="preserve">of </w:t>
      </w:r>
      <w:r w:rsidR="00480272" w:rsidRPr="00641AEA">
        <w:rPr>
          <w:sz w:val="22"/>
          <w:lang w:val="en-GB"/>
        </w:rPr>
        <w:t>experience</w:t>
      </w:r>
      <w:r w:rsidR="00165493">
        <w:rPr>
          <w:sz w:val="22"/>
          <w:lang w:val="en-GB"/>
        </w:rPr>
        <w:t xml:space="preserve">, including several leadership positions in MENA </w:t>
      </w:r>
      <w:r w:rsidR="00FB6B3F">
        <w:rPr>
          <w:sz w:val="22"/>
          <w:lang w:val="en-GB"/>
        </w:rPr>
        <w:t>countries</w:t>
      </w:r>
      <w:r w:rsidR="001E5E44">
        <w:rPr>
          <w:sz w:val="22"/>
          <w:lang w:val="en-GB"/>
        </w:rPr>
        <w:t xml:space="preserve"> and Germany</w:t>
      </w:r>
      <w:r w:rsidR="00480272" w:rsidRPr="00641AEA">
        <w:rPr>
          <w:sz w:val="22"/>
          <w:lang w:val="en-GB"/>
        </w:rPr>
        <w:t>,</w:t>
      </w:r>
      <w:r w:rsidR="00480272">
        <w:rPr>
          <w:sz w:val="22"/>
          <w:lang w:val="en-GB"/>
        </w:rPr>
        <w:t xml:space="preserve"> Sameh Sabry</w:t>
      </w:r>
      <w:r w:rsidR="00480272" w:rsidRPr="00641AEA">
        <w:rPr>
          <w:sz w:val="22"/>
          <w:lang w:val="en-GB"/>
        </w:rPr>
        <w:t xml:space="preserve"> brings extensive</w:t>
      </w:r>
      <w:r w:rsidR="00165493">
        <w:rPr>
          <w:sz w:val="22"/>
          <w:lang w:val="en-GB"/>
        </w:rPr>
        <w:t xml:space="preserve"> </w:t>
      </w:r>
      <w:r w:rsidR="00480272" w:rsidRPr="00641AEA">
        <w:rPr>
          <w:sz w:val="22"/>
          <w:lang w:val="en-GB"/>
        </w:rPr>
        <w:t>expertise</w:t>
      </w:r>
      <w:r w:rsidR="00165493">
        <w:rPr>
          <w:sz w:val="22"/>
          <w:lang w:val="en-GB"/>
        </w:rPr>
        <w:t xml:space="preserve"> and regional insights</w:t>
      </w:r>
      <w:r w:rsidR="00480272" w:rsidRPr="00641AEA">
        <w:rPr>
          <w:sz w:val="22"/>
          <w:lang w:val="en-GB"/>
        </w:rPr>
        <w:t xml:space="preserve"> to h</w:t>
      </w:r>
      <w:r w:rsidR="00480272">
        <w:rPr>
          <w:sz w:val="22"/>
          <w:lang w:val="en-GB"/>
        </w:rPr>
        <w:t>is</w:t>
      </w:r>
      <w:r w:rsidR="00480272" w:rsidRPr="00641AEA">
        <w:rPr>
          <w:sz w:val="22"/>
          <w:lang w:val="en-GB"/>
        </w:rPr>
        <w:t xml:space="preserve"> new position.</w:t>
      </w:r>
      <w:r w:rsidR="00480272">
        <w:rPr>
          <w:sz w:val="22"/>
          <w:lang w:val="en-GB"/>
        </w:rPr>
        <w:t xml:space="preserve"> </w:t>
      </w:r>
      <w:r w:rsidRPr="005631E9">
        <w:rPr>
          <w:sz w:val="22"/>
          <w:lang w:val="en-GB"/>
        </w:rPr>
        <w:t>S</w:t>
      </w:r>
      <w:r w:rsidR="00ED2708">
        <w:rPr>
          <w:sz w:val="22"/>
          <w:lang w:val="en-GB"/>
        </w:rPr>
        <w:t>ince</w:t>
      </w:r>
      <w:r w:rsidRPr="005631E9">
        <w:rPr>
          <w:sz w:val="22"/>
          <w:lang w:val="en-GB"/>
        </w:rPr>
        <w:t xml:space="preserve"> 2019, he assumed </w:t>
      </w:r>
      <w:r w:rsidR="00480272">
        <w:rPr>
          <w:sz w:val="22"/>
          <w:lang w:val="en-GB"/>
        </w:rPr>
        <w:t xml:space="preserve">his </w:t>
      </w:r>
      <w:r w:rsidR="00B957AB">
        <w:rPr>
          <w:sz w:val="22"/>
          <w:lang w:val="en-GB"/>
        </w:rPr>
        <w:t xml:space="preserve">latest </w:t>
      </w:r>
      <w:r w:rsidR="00B957AB" w:rsidRPr="005631E9">
        <w:rPr>
          <w:sz w:val="22"/>
          <w:lang w:val="en-GB"/>
        </w:rPr>
        <w:t>position</w:t>
      </w:r>
      <w:r w:rsidRPr="005631E9">
        <w:rPr>
          <w:sz w:val="22"/>
          <w:lang w:val="en-GB"/>
        </w:rPr>
        <w:t xml:space="preserve"> </w:t>
      </w:r>
      <w:r w:rsidR="0099698A">
        <w:rPr>
          <w:sz w:val="22"/>
          <w:lang w:val="en-GB"/>
        </w:rPr>
        <w:t xml:space="preserve">as </w:t>
      </w:r>
      <w:r w:rsidR="0099698A" w:rsidRPr="005631E9">
        <w:rPr>
          <w:sz w:val="22"/>
          <w:lang w:val="en-GB"/>
        </w:rPr>
        <w:t>Senior</w:t>
      </w:r>
      <w:r w:rsidRPr="005631E9">
        <w:rPr>
          <w:sz w:val="22"/>
          <w:lang w:val="en-GB"/>
        </w:rPr>
        <w:t xml:space="preserve"> Vice President and Managing Director of Wintershall </w:t>
      </w:r>
      <w:proofErr w:type="spellStart"/>
      <w:r w:rsidRPr="005631E9">
        <w:rPr>
          <w:sz w:val="22"/>
          <w:lang w:val="en-GB"/>
        </w:rPr>
        <w:t>Dea's</w:t>
      </w:r>
      <w:proofErr w:type="spellEnd"/>
      <w:r w:rsidRPr="005631E9">
        <w:rPr>
          <w:sz w:val="22"/>
          <w:lang w:val="en-GB"/>
        </w:rPr>
        <w:t xml:space="preserve"> business unit in Egypt</w:t>
      </w:r>
      <w:r w:rsidR="006D4CBD">
        <w:rPr>
          <w:sz w:val="22"/>
          <w:lang w:val="en-GB"/>
        </w:rPr>
        <w:t>.</w:t>
      </w:r>
      <w:r w:rsidR="00480272">
        <w:rPr>
          <w:sz w:val="22"/>
          <w:lang w:val="en-GB"/>
        </w:rPr>
        <w:t xml:space="preserve"> </w:t>
      </w:r>
      <w:r w:rsidR="006D4CBD">
        <w:rPr>
          <w:sz w:val="22"/>
          <w:lang w:val="en-GB"/>
        </w:rPr>
        <w:t>B</w:t>
      </w:r>
      <w:r w:rsidR="00480272">
        <w:rPr>
          <w:sz w:val="22"/>
          <w:lang w:val="en-GB"/>
        </w:rPr>
        <w:t xml:space="preserve">efore that he was the Managing Director of </w:t>
      </w:r>
      <w:r w:rsidR="00480272" w:rsidRPr="005631E9">
        <w:rPr>
          <w:sz w:val="22"/>
          <w:lang w:val="en-GB"/>
        </w:rPr>
        <w:t xml:space="preserve">Wintershall </w:t>
      </w:r>
      <w:proofErr w:type="spellStart"/>
      <w:r w:rsidR="00480272" w:rsidRPr="005631E9">
        <w:rPr>
          <w:sz w:val="22"/>
          <w:lang w:val="en-GB"/>
        </w:rPr>
        <w:t>Dea's</w:t>
      </w:r>
      <w:proofErr w:type="spellEnd"/>
      <w:r w:rsidR="00480272" w:rsidRPr="005631E9">
        <w:rPr>
          <w:sz w:val="22"/>
          <w:lang w:val="en-GB"/>
        </w:rPr>
        <w:t xml:space="preserve"> business unit in </w:t>
      </w:r>
      <w:r w:rsidR="00480272">
        <w:rPr>
          <w:sz w:val="22"/>
          <w:lang w:val="en-GB"/>
        </w:rPr>
        <w:t>Algeria</w:t>
      </w:r>
      <w:r w:rsidR="00165493">
        <w:rPr>
          <w:sz w:val="22"/>
          <w:lang w:val="en-GB"/>
        </w:rPr>
        <w:t>.</w:t>
      </w:r>
      <w:r w:rsidR="00480272">
        <w:rPr>
          <w:sz w:val="22"/>
          <w:lang w:val="en-GB"/>
        </w:rPr>
        <w:t xml:space="preserve"> </w:t>
      </w:r>
    </w:p>
    <w:p w14:paraId="218C3053" w14:textId="77777777" w:rsidR="001E42E8" w:rsidRDefault="001E42E8" w:rsidP="00F82AF7">
      <w:pPr>
        <w:spacing w:line="360" w:lineRule="auto"/>
        <w:ind w:right="1415"/>
        <w:jc w:val="both"/>
        <w:rPr>
          <w:sz w:val="22"/>
          <w:lang w:val="en-GB"/>
        </w:rPr>
      </w:pPr>
    </w:p>
    <w:p w14:paraId="6ECBE4C9" w14:textId="725E74F5" w:rsidR="00ED2708" w:rsidRDefault="001E42E8" w:rsidP="00ED2708">
      <w:pPr>
        <w:spacing w:line="360" w:lineRule="auto"/>
        <w:ind w:right="1415"/>
        <w:jc w:val="both"/>
        <w:rPr>
          <w:sz w:val="22"/>
          <w:lang w:val="en-GB"/>
        </w:rPr>
      </w:pPr>
      <w:r w:rsidRPr="001E42E8">
        <w:rPr>
          <w:sz w:val="22"/>
          <w:lang w:val="en-GB"/>
        </w:rPr>
        <w:t>Sameh Sab</w:t>
      </w:r>
      <w:r w:rsidR="00ED2708">
        <w:rPr>
          <w:sz w:val="22"/>
          <w:lang w:val="en-GB"/>
        </w:rPr>
        <w:t>r</w:t>
      </w:r>
      <w:r w:rsidRPr="001E42E8">
        <w:rPr>
          <w:sz w:val="22"/>
          <w:lang w:val="en-GB"/>
        </w:rPr>
        <w:t>y says:</w:t>
      </w:r>
      <w:r>
        <w:rPr>
          <w:sz w:val="22"/>
          <w:lang w:val="en-GB"/>
        </w:rPr>
        <w:t xml:space="preserve"> </w:t>
      </w:r>
      <w:r w:rsidR="004F4D10">
        <w:rPr>
          <w:sz w:val="22"/>
          <w:lang w:val="en-GB"/>
        </w:rPr>
        <w:t>“</w:t>
      </w:r>
      <w:r w:rsidRPr="001E42E8">
        <w:rPr>
          <w:sz w:val="22"/>
          <w:lang w:val="en-GB"/>
        </w:rPr>
        <w:t>Our long-standing activities in the MENA region are characterized by trust, partnership and cooperation. We see the new MENA BU as the right setup and path into the future, towards new technologies and opportunities.</w:t>
      </w:r>
      <w:r>
        <w:rPr>
          <w:sz w:val="22"/>
          <w:lang w:val="en-GB"/>
        </w:rPr>
        <w:t>”</w:t>
      </w:r>
      <w:r w:rsidR="00ED2708">
        <w:rPr>
          <w:sz w:val="22"/>
          <w:lang w:val="en-GB"/>
        </w:rPr>
        <w:t xml:space="preserve"> </w:t>
      </w:r>
      <w:r w:rsidR="00851603" w:rsidRPr="00851603">
        <w:rPr>
          <w:sz w:val="22"/>
          <w:lang w:val="en-GB"/>
        </w:rPr>
        <w:t xml:space="preserve">Within the MENA BU, Thomas Ruttmann will be responsible for Wintershall </w:t>
      </w:r>
      <w:proofErr w:type="spellStart"/>
      <w:r w:rsidR="00851603" w:rsidRPr="00851603">
        <w:rPr>
          <w:sz w:val="22"/>
          <w:lang w:val="en-GB"/>
        </w:rPr>
        <w:t>Dea's</w:t>
      </w:r>
      <w:proofErr w:type="spellEnd"/>
      <w:r w:rsidR="00851603" w:rsidRPr="00851603">
        <w:rPr>
          <w:sz w:val="22"/>
          <w:lang w:val="en-GB"/>
        </w:rPr>
        <w:t xml:space="preserve"> activities in Algeria and Libya, Jan Himmerkus for the United Arab Emirates</w:t>
      </w:r>
    </w:p>
    <w:p w14:paraId="503F5B3C" w14:textId="77777777" w:rsidR="00ED2708" w:rsidRDefault="00ED2708" w:rsidP="00F82AF7">
      <w:pPr>
        <w:spacing w:line="360" w:lineRule="auto"/>
        <w:ind w:right="1415"/>
        <w:jc w:val="both"/>
        <w:rPr>
          <w:sz w:val="22"/>
          <w:lang w:val="en-GB"/>
        </w:rPr>
      </w:pPr>
    </w:p>
    <w:p w14:paraId="0534B1D1" w14:textId="25F330BC" w:rsidR="001E42E8" w:rsidRDefault="00ED2708" w:rsidP="00F82AF7">
      <w:pPr>
        <w:spacing w:line="360" w:lineRule="auto"/>
        <w:ind w:right="1415"/>
        <w:jc w:val="both"/>
        <w:rPr>
          <w:sz w:val="22"/>
          <w:lang w:val="en-GB"/>
        </w:rPr>
      </w:pPr>
      <w:r w:rsidRPr="00ED2708">
        <w:rPr>
          <w:sz w:val="22"/>
          <w:lang w:val="en-GB"/>
        </w:rPr>
        <w:lastRenderedPageBreak/>
        <w:t xml:space="preserve">Wintershall </w:t>
      </w:r>
      <w:proofErr w:type="spellStart"/>
      <w:r w:rsidRPr="00ED2708">
        <w:rPr>
          <w:sz w:val="22"/>
          <w:lang w:val="en-GB"/>
        </w:rPr>
        <w:t>Dea's</w:t>
      </w:r>
      <w:proofErr w:type="spellEnd"/>
      <w:r w:rsidRPr="00ED2708">
        <w:rPr>
          <w:sz w:val="22"/>
          <w:lang w:val="en-GB"/>
        </w:rPr>
        <w:t xml:space="preserve"> activities in the MENA region started in Libya in 1958. The company has been a partner in Algeria since 2002 and will celebrate its 50th anniversar</w:t>
      </w:r>
      <w:r w:rsidRPr="00ED0CBB">
        <w:rPr>
          <w:sz w:val="22"/>
          <w:lang w:val="en-GB"/>
        </w:rPr>
        <w:t>y in Egypt in 2024.</w:t>
      </w:r>
      <w:r w:rsidR="005568DF" w:rsidRPr="00ED0CBB">
        <w:rPr>
          <w:sz w:val="22"/>
          <w:lang w:val="en-GB"/>
        </w:rPr>
        <w:t xml:space="preserve"> </w:t>
      </w:r>
      <w:r w:rsidR="00ED0CBB" w:rsidRPr="00ED0CBB">
        <w:rPr>
          <w:sz w:val="22"/>
          <w:lang w:val="en-GB"/>
        </w:rPr>
        <w:t>The company</w:t>
      </w:r>
      <w:r w:rsidR="007D74D4" w:rsidRPr="00ED0CBB">
        <w:rPr>
          <w:sz w:val="22"/>
          <w:lang w:val="en-GB"/>
        </w:rPr>
        <w:t xml:space="preserve"> </w:t>
      </w:r>
      <w:r w:rsidR="004315B1" w:rsidRPr="00ED0CBB">
        <w:rPr>
          <w:sz w:val="22"/>
          <w:lang w:val="en-GB"/>
        </w:rPr>
        <w:t xml:space="preserve">supports </w:t>
      </w:r>
      <w:r w:rsidR="005B50A8" w:rsidRPr="00ED0CBB">
        <w:rPr>
          <w:sz w:val="22"/>
          <w:lang w:val="en-GB"/>
        </w:rPr>
        <w:t>its</w:t>
      </w:r>
      <w:r w:rsidR="004315B1" w:rsidRPr="00ED0CBB">
        <w:rPr>
          <w:sz w:val="22"/>
          <w:lang w:val="en-GB"/>
        </w:rPr>
        <w:t xml:space="preserve"> </w:t>
      </w:r>
      <w:r w:rsidR="00AA776F" w:rsidRPr="00ED0CBB">
        <w:rPr>
          <w:sz w:val="22"/>
          <w:lang w:val="en-GB"/>
        </w:rPr>
        <w:t>operating countries by supplying energy which is crucially needed</w:t>
      </w:r>
      <w:r w:rsidR="004E0AEE" w:rsidRPr="00ED0CBB">
        <w:rPr>
          <w:sz w:val="22"/>
          <w:lang w:val="en-GB"/>
        </w:rPr>
        <w:t xml:space="preserve"> and </w:t>
      </w:r>
      <w:r w:rsidR="00ED0CBB" w:rsidRPr="00ED0CBB">
        <w:rPr>
          <w:sz w:val="22"/>
          <w:lang w:val="en-GB"/>
        </w:rPr>
        <w:t xml:space="preserve">developing </w:t>
      </w:r>
      <w:r w:rsidR="004E0AEE" w:rsidRPr="00ED0CBB">
        <w:rPr>
          <w:sz w:val="22"/>
          <w:lang w:val="en-GB"/>
        </w:rPr>
        <w:t>low-carbon energy solutions on the path to a net-zero world.</w:t>
      </w:r>
    </w:p>
    <w:p w14:paraId="18E5DAA8" w14:textId="77777777" w:rsidR="00ED2708" w:rsidRPr="001E42E8" w:rsidRDefault="00ED2708" w:rsidP="00F82AF7">
      <w:pPr>
        <w:spacing w:line="360" w:lineRule="auto"/>
        <w:ind w:right="1415"/>
        <w:jc w:val="both"/>
        <w:rPr>
          <w:sz w:val="22"/>
          <w:lang w:val="en-GB"/>
        </w:rPr>
      </w:pPr>
    </w:p>
    <w:p w14:paraId="6D609A83" w14:textId="6E2901DC" w:rsidR="00667A43" w:rsidRPr="00ED2708" w:rsidRDefault="00F777AA" w:rsidP="00ED2708">
      <w:pPr>
        <w:spacing w:line="360" w:lineRule="auto"/>
        <w:ind w:right="1415"/>
        <w:jc w:val="both"/>
        <w:rPr>
          <w:i/>
          <w:iCs/>
          <w:sz w:val="22"/>
          <w:lang w:val="en-GB"/>
        </w:rPr>
      </w:pPr>
      <w:r w:rsidRPr="00E74607">
        <w:rPr>
          <w:i/>
          <w:iCs/>
          <w:sz w:val="22"/>
          <w:lang w:val="en-GB"/>
        </w:rPr>
        <w:t>Recent</w:t>
      </w:r>
      <w:r w:rsidR="000E2174" w:rsidRPr="00E74607">
        <w:rPr>
          <w:i/>
          <w:iCs/>
          <w:sz w:val="22"/>
          <w:lang w:val="en-GB"/>
        </w:rPr>
        <w:t xml:space="preserve"> developments:</w:t>
      </w:r>
    </w:p>
    <w:p w14:paraId="17A4E58C" w14:textId="2341DDA6" w:rsidR="00C82CD2" w:rsidRDefault="005602AD" w:rsidP="00C82CD2">
      <w:pPr>
        <w:spacing w:line="360" w:lineRule="auto"/>
        <w:ind w:right="1415"/>
        <w:jc w:val="both"/>
        <w:rPr>
          <w:sz w:val="22"/>
          <w:lang w:val="en-GB"/>
        </w:rPr>
      </w:pPr>
      <w:r w:rsidRPr="005602AD">
        <w:rPr>
          <w:sz w:val="22"/>
          <w:lang w:val="en-GB"/>
        </w:rPr>
        <w:t xml:space="preserve">The shareholders of Wintershall Dea (BASF and </w:t>
      </w:r>
      <w:proofErr w:type="spellStart"/>
      <w:r w:rsidRPr="005602AD">
        <w:rPr>
          <w:sz w:val="22"/>
          <w:lang w:val="en-GB"/>
        </w:rPr>
        <w:t>LetterOne</w:t>
      </w:r>
      <w:proofErr w:type="spellEnd"/>
      <w:r w:rsidRPr="005602AD">
        <w:rPr>
          <w:sz w:val="22"/>
          <w:lang w:val="en-GB"/>
        </w:rPr>
        <w:t xml:space="preserve">) and Harbour Energy plc (Harbour) signed a business combination agreement in December 2023 to transfer Wintershall </w:t>
      </w:r>
      <w:proofErr w:type="spellStart"/>
      <w:r w:rsidRPr="005602AD">
        <w:rPr>
          <w:sz w:val="22"/>
          <w:lang w:val="en-GB"/>
        </w:rPr>
        <w:t>Dea’s</w:t>
      </w:r>
      <w:proofErr w:type="spellEnd"/>
      <w:r w:rsidRPr="005602AD">
        <w:rPr>
          <w:sz w:val="22"/>
          <w:lang w:val="en-GB"/>
        </w:rPr>
        <w:t xml:space="preserve"> </w:t>
      </w:r>
      <w:r w:rsidR="00C82CD2" w:rsidRPr="00F82AF7">
        <w:rPr>
          <w:sz w:val="22"/>
          <w:lang w:val="en-GB"/>
        </w:rPr>
        <w:t xml:space="preserve">E&amp;P business and carbon capture and storage (CCS) licenses to Harbour. </w:t>
      </w:r>
      <w:r w:rsidR="00DE692A">
        <w:rPr>
          <w:sz w:val="22"/>
          <w:lang w:val="en-GB"/>
        </w:rPr>
        <w:t>C</w:t>
      </w:r>
      <w:r w:rsidR="00A3348F">
        <w:rPr>
          <w:sz w:val="22"/>
          <w:lang w:val="en-GB"/>
        </w:rPr>
        <w:t>losing</w:t>
      </w:r>
      <w:r w:rsidR="00C82CD2" w:rsidRPr="00F82AF7">
        <w:rPr>
          <w:sz w:val="22"/>
          <w:lang w:val="en-GB"/>
        </w:rPr>
        <w:t xml:space="preserve"> </w:t>
      </w:r>
      <w:r w:rsidR="00DE692A">
        <w:rPr>
          <w:sz w:val="22"/>
          <w:lang w:val="en-GB"/>
        </w:rPr>
        <w:t xml:space="preserve">of the transaction </w:t>
      </w:r>
      <w:r w:rsidR="00C82CD2" w:rsidRPr="00F82AF7">
        <w:rPr>
          <w:sz w:val="22"/>
          <w:lang w:val="en-GB"/>
        </w:rPr>
        <w:t xml:space="preserve">is </w:t>
      </w:r>
      <w:r w:rsidR="007239F1">
        <w:rPr>
          <w:sz w:val="22"/>
          <w:lang w:val="en-GB"/>
        </w:rPr>
        <w:t>targeted for the</w:t>
      </w:r>
      <w:r w:rsidR="00C82CD2" w:rsidRPr="00F82AF7">
        <w:rPr>
          <w:sz w:val="22"/>
          <w:lang w:val="en-GB"/>
        </w:rPr>
        <w:t xml:space="preserve"> fourth quarter of 2024. </w:t>
      </w:r>
      <w:r w:rsidR="00D13978" w:rsidRPr="00D13978">
        <w:rPr>
          <w:sz w:val="22"/>
          <w:lang w:val="en-GB"/>
        </w:rPr>
        <w:t xml:space="preserve">In parallel, the </w:t>
      </w:r>
      <w:r w:rsidR="00D13978">
        <w:rPr>
          <w:sz w:val="22"/>
          <w:lang w:val="en-GB"/>
        </w:rPr>
        <w:t>restructuring</w:t>
      </w:r>
      <w:r w:rsidR="00D13978" w:rsidRPr="00D13978">
        <w:rPr>
          <w:sz w:val="22"/>
          <w:lang w:val="en-GB"/>
        </w:rPr>
        <w:t xml:space="preserve"> of Wintershall Dea announced in September, </w:t>
      </w:r>
      <w:r w:rsidR="00D13978" w:rsidRPr="00164AC0">
        <w:rPr>
          <w:sz w:val="22"/>
          <w:lang w:val="en-GB"/>
        </w:rPr>
        <w:t>which is intended to contribute to a stronger focus on the company's strategic priorities,</w:t>
      </w:r>
      <w:r w:rsidR="00D13978" w:rsidRPr="00D13978">
        <w:rPr>
          <w:sz w:val="22"/>
          <w:lang w:val="en-GB"/>
        </w:rPr>
        <w:t xml:space="preserve"> will be partially implemented following the sale announcement.</w:t>
      </w:r>
    </w:p>
    <w:p w14:paraId="6B8E9379" w14:textId="77777777" w:rsidR="00C82CD2" w:rsidRPr="00115857" w:rsidRDefault="00C82CD2" w:rsidP="00FF196F">
      <w:pPr>
        <w:spacing w:line="360" w:lineRule="auto"/>
        <w:ind w:right="1415"/>
        <w:jc w:val="both"/>
        <w:rPr>
          <w:sz w:val="22"/>
          <w:lang w:val="en-US"/>
        </w:rPr>
      </w:pPr>
    </w:p>
    <w:p w14:paraId="2E14985D" w14:textId="4F4C125B" w:rsidR="00404B07" w:rsidRPr="00653C37" w:rsidRDefault="00404B07" w:rsidP="00404B07">
      <w:pPr>
        <w:spacing w:line="360" w:lineRule="auto"/>
        <w:ind w:right="1418"/>
        <w:jc w:val="both"/>
        <w:rPr>
          <w:rFonts w:cs="Calibri"/>
          <w:b/>
          <w:bCs/>
          <w:sz w:val="19"/>
          <w:szCs w:val="19"/>
          <w:lang w:val="en-US"/>
        </w:rPr>
      </w:pPr>
      <w:r w:rsidRPr="00653C37">
        <w:rPr>
          <w:rFonts w:cs="Calibri"/>
          <w:b/>
          <w:bCs/>
          <w:sz w:val="19"/>
          <w:szCs w:val="19"/>
          <w:lang w:val="en-US"/>
        </w:rPr>
        <w:t>About Wintershall Dea</w:t>
      </w:r>
    </w:p>
    <w:p w14:paraId="71754ADC" w14:textId="375B0D0F" w:rsidR="007C66EB" w:rsidRPr="007C66EB" w:rsidRDefault="006D00E7" w:rsidP="007C66EB">
      <w:pPr>
        <w:spacing w:line="276" w:lineRule="auto"/>
        <w:ind w:right="1418"/>
        <w:jc w:val="both"/>
        <w:rPr>
          <w:rFonts w:cs="Calibri"/>
          <w:sz w:val="19"/>
          <w:szCs w:val="19"/>
          <w:lang w:val="en-US"/>
        </w:rPr>
      </w:pPr>
      <w:r w:rsidRPr="006D00E7">
        <w:rPr>
          <w:rFonts w:cs="Calibri"/>
          <w:sz w:val="19"/>
          <w:szCs w:val="19"/>
          <w:lang w:val="en-US"/>
        </w:rPr>
        <w:t xml:space="preserve">Wintershall Dea is transforming from the leading European independent gas and oil company to </w:t>
      </w:r>
      <w:r w:rsidR="008F3C6D">
        <w:rPr>
          <w:rFonts w:cs="Calibri"/>
          <w:sz w:val="19"/>
          <w:szCs w:val="19"/>
          <w:lang w:val="en-US"/>
        </w:rPr>
        <w:t>becom</w:t>
      </w:r>
      <w:r w:rsidR="00B74669">
        <w:rPr>
          <w:rFonts w:cs="Calibri"/>
          <w:sz w:val="19"/>
          <w:szCs w:val="19"/>
          <w:lang w:val="en-US"/>
        </w:rPr>
        <w:t>e</w:t>
      </w:r>
      <w:r w:rsidR="008F3C6D">
        <w:rPr>
          <w:rFonts w:cs="Calibri"/>
          <w:sz w:val="19"/>
          <w:szCs w:val="19"/>
          <w:lang w:val="en-US"/>
        </w:rPr>
        <w:t xml:space="preserve"> </w:t>
      </w:r>
      <w:r w:rsidRPr="006D00E7">
        <w:rPr>
          <w:rFonts w:cs="Calibri"/>
          <w:sz w:val="19"/>
          <w:szCs w:val="19"/>
          <w:lang w:val="en-US"/>
        </w:rPr>
        <w:t xml:space="preserve">a leading European independent gas and carbon management company. We have </w:t>
      </w:r>
      <w:r w:rsidR="007C66EB" w:rsidRPr="007C66EB">
        <w:rPr>
          <w:rFonts w:cs="Calibri"/>
          <w:sz w:val="19"/>
          <w:szCs w:val="19"/>
          <w:lang w:val="en-US"/>
        </w:rPr>
        <w:t xml:space="preserve">more than 120 years of experience as an operator and project partner along the entire E&amp;P value chain. The company </w:t>
      </w:r>
      <w:r w:rsidR="007C66EB" w:rsidRPr="0060634A">
        <w:rPr>
          <w:rFonts w:cs="Calibri"/>
          <w:sz w:val="19"/>
          <w:szCs w:val="19"/>
          <w:lang w:val="en-US"/>
        </w:rPr>
        <w:t xml:space="preserve">with German roots and headquarters in Kassel and Hamburg explores for and produces gas and oil in 11 countries worldwide in an efficient and responsible manner. With activities in Europe, Latin America and the MENA region (Middle East &amp; North Africa), Wintershall Dea has a global upstream portfolio and, with its participation in natural gas transport, is also active in the midstream business. </w:t>
      </w:r>
      <w:r w:rsidR="00AD155D">
        <w:rPr>
          <w:rFonts w:cs="Calibri"/>
          <w:sz w:val="19"/>
          <w:szCs w:val="19"/>
          <w:lang w:val="en-US"/>
        </w:rPr>
        <w:t>And w</w:t>
      </w:r>
      <w:r w:rsidRPr="006D00E7">
        <w:rPr>
          <w:rFonts w:cs="Calibri"/>
          <w:sz w:val="19"/>
          <w:szCs w:val="19"/>
          <w:lang w:val="en-US"/>
        </w:rPr>
        <w:t xml:space="preserve">e develop carbon management and low carbon hydrogen projects to contribute to climate goals and secure energy supplies. </w:t>
      </w:r>
      <w:r w:rsidR="007C66EB" w:rsidRPr="007C66EB">
        <w:rPr>
          <w:rFonts w:cs="Calibri"/>
          <w:sz w:val="19"/>
          <w:szCs w:val="19"/>
          <w:lang w:val="en-US"/>
        </w:rPr>
        <w:t xml:space="preserve"> More in our </w:t>
      </w:r>
      <w:hyperlink r:id="rId11" w:history="1">
        <w:r w:rsidR="007C66EB" w:rsidRPr="000163DE">
          <w:rPr>
            <w:rStyle w:val="Hyperlink"/>
            <w:rFonts w:cs="Calibri"/>
            <w:b/>
            <w:bCs/>
            <w:i/>
            <w:iCs/>
            <w:sz w:val="19"/>
            <w:szCs w:val="19"/>
            <w:lang w:val="en-US"/>
          </w:rPr>
          <w:t>Annual Report</w:t>
        </w:r>
      </w:hyperlink>
      <w:r w:rsidR="007C66EB" w:rsidRPr="007C66EB">
        <w:rPr>
          <w:rFonts w:cs="Calibri"/>
          <w:sz w:val="19"/>
          <w:szCs w:val="19"/>
          <w:lang w:val="en-US"/>
        </w:rPr>
        <w:t>.</w:t>
      </w:r>
    </w:p>
    <w:p w14:paraId="3BC5BC14" w14:textId="77777777" w:rsidR="007C66EB" w:rsidRPr="007C66EB" w:rsidRDefault="007C66EB" w:rsidP="007C66EB">
      <w:pPr>
        <w:spacing w:line="276" w:lineRule="auto"/>
        <w:ind w:right="1418"/>
        <w:jc w:val="both"/>
        <w:rPr>
          <w:rFonts w:cs="Calibri"/>
          <w:sz w:val="19"/>
          <w:szCs w:val="19"/>
          <w:lang w:val="en-US"/>
        </w:rPr>
      </w:pPr>
      <w:r w:rsidRPr="007C66EB">
        <w:rPr>
          <w:rFonts w:cs="Calibri"/>
          <w:sz w:val="19"/>
          <w:szCs w:val="19"/>
          <w:lang w:val="en-US"/>
        </w:rPr>
        <w:t xml:space="preserve"> </w:t>
      </w:r>
    </w:p>
    <w:p w14:paraId="2BCD234F" w14:textId="6E7303AE" w:rsidR="007C66EB" w:rsidRPr="0060634A" w:rsidRDefault="007C66EB" w:rsidP="007C66EB">
      <w:pPr>
        <w:spacing w:line="276" w:lineRule="auto"/>
        <w:ind w:right="1418"/>
        <w:jc w:val="both"/>
        <w:rPr>
          <w:rFonts w:cs="Calibri"/>
          <w:sz w:val="19"/>
          <w:szCs w:val="19"/>
          <w:lang w:val="en-US"/>
        </w:rPr>
      </w:pPr>
      <w:r w:rsidRPr="007C66EB">
        <w:rPr>
          <w:rFonts w:cs="Calibri"/>
          <w:sz w:val="19"/>
          <w:szCs w:val="19"/>
          <w:lang w:val="en-US"/>
        </w:rPr>
        <w:lastRenderedPageBreak/>
        <w:t xml:space="preserve">As a European gas and oil company, we support the EU's 2050 carbon neutrality target. As our contribution we have set ourselves ambitious targets: We want to be net zero across our entire upstream operations – both operated and non-operated – by 2030. This includes Scope 1 (direct) and Scope 2 (indirect) greenhouse gas emissions on an equity share basis. Wintershall Dea will also </w:t>
      </w:r>
      <w:r w:rsidRPr="0060634A">
        <w:rPr>
          <w:rFonts w:cs="Calibri"/>
          <w:sz w:val="19"/>
          <w:szCs w:val="19"/>
          <w:lang w:val="en-US"/>
        </w:rPr>
        <w:t xml:space="preserve">bring its methane emissions intensity below 0.1 per cent by 2025. We endorsed the World Bank’s Initiative ‘Zero Routine Flaring by 2030’ and continue to support the initiative aimed at eliminating routine flaring in operated assets by 2030. In addition, we plan to support global </w:t>
      </w:r>
      <w:proofErr w:type="spellStart"/>
      <w:r w:rsidRPr="0060634A">
        <w:rPr>
          <w:rFonts w:cs="Calibri"/>
          <w:sz w:val="19"/>
          <w:szCs w:val="19"/>
          <w:lang w:val="en-US"/>
        </w:rPr>
        <w:t>decarbonisation</w:t>
      </w:r>
      <w:proofErr w:type="spellEnd"/>
      <w:r w:rsidRPr="0060634A">
        <w:rPr>
          <w:rFonts w:cs="Calibri"/>
          <w:sz w:val="19"/>
          <w:szCs w:val="19"/>
          <w:lang w:val="en-US"/>
        </w:rPr>
        <w:t xml:space="preserve"> efforts by building up a carbon management and hydrogen business to potentially abate 20-30 million </w:t>
      </w:r>
      <w:proofErr w:type="spellStart"/>
      <w:r w:rsidRPr="0060634A">
        <w:rPr>
          <w:rFonts w:cs="Calibri"/>
          <w:sz w:val="19"/>
          <w:szCs w:val="19"/>
          <w:lang w:val="en-US"/>
        </w:rPr>
        <w:t>tonnes</w:t>
      </w:r>
      <w:proofErr w:type="spellEnd"/>
      <w:r w:rsidRPr="0060634A">
        <w:rPr>
          <w:rFonts w:cs="Calibri"/>
          <w:sz w:val="19"/>
          <w:szCs w:val="19"/>
          <w:lang w:val="en-US"/>
        </w:rPr>
        <w:t xml:space="preserve"> of CO</w:t>
      </w:r>
      <w:r w:rsidRPr="0060634A">
        <w:rPr>
          <w:rFonts w:cs="Calibri"/>
          <w:sz w:val="19"/>
          <w:szCs w:val="19"/>
          <w:vertAlign w:val="subscript"/>
          <w:lang w:val="en-US"/>
        </w:rPr>
        <w:t>2</w:t>
      </w:r>
      <w:r w:rsidRPr="0060634A">
        <w:rPr>
          <w:rFonts w:cs="Calibri"/>
          <w:sz w:val="19"/>
          <w:szCs w:val="19"/>
          <w:lang w:val="en-US"/>
        </w:rPr>
        <w:t xml:space="preserve"> per annum by 2040. You can find more about this in our </w:t>
      </w:r>
      <w:hyperlink r:id="rId12" w:history="1">
        <w:r w:rsidRPr="0060634A">
          <w:rPr>
            <w:rStyle w:val="Hyperlink"/>
            <w:rFonts w:cs="Calibri"/>
            <w:b/>
            <w:bCs/>
            <w:i/>
            <w:iCs/>
            <w:sz w:val="19"/>
            <w:szCs w:val="19"/>
            <w:lang w:val="en-US"/>
          </w:rPr>
          <w:t>Sustainability Report</w:t>
        </w:r>
      </w:hyperlink>
      <w:r w:rsidRPr="0060634A">
        <w:rPr>
          <w:rFonts w:cs="Calibri"/>
          <w:sz w:val="19"/>
          <w:szCs w:val="19"/>
          <w:lang w:val="en-US"/>
        </w:rPr>
        <w:t>.</w:t>
      </w:r>
    </w:p>
    <w:p w14:paraId="77D05195" w14:textId="77777777" w:rsidR="007C66EB" w:rsidRPr="0060634A" w:rsidRDefault="007C66EB" w:rsidP="007C66EB">
      <w:pPr>
        <w:spacing w:line="276" w:lineRule="auto"/>
        <w:ind w:right="1418"/>
        <w:jc w:val="both"/>
        <w:rPr>
          <w:rFonts w:cs="Calibri"/>
          <w:sz w:val="19"/>
          <w:szCs w:val="19"/>
          <w:lang w:val="en-US"/>
        </w:rPr>
      </w:pPr>
      <w:r w:rsidRPr="0060634A">
        <w:rPr>
          <w:rFonts w:cs="Calibri"/>
          <w:sz w:val="19"/>
          <w:szCs w:val="19"/>
          <w:lang w:val="en-US"/>
        </w:rPr>
        <w:t xml:space="preserve"> </w:t>
      </w:r>
    </w:p>
    <w:p w14:paraId="6249CD3B" w14:textId="0DD6B0B3" w:rsidR="00404B07" w:rsidRPr="00B72033" w:rsidRDefault="007C66EB" w:rsidP="007C66EB">
      <w:pPr>
        <w:spacing w:line="276" w:lineRule="auto"/>
        <w:ind w:right="1418"/>
        <w:jc w:val="both"/>
        <w:rPr>
          <w:rFonts w:cs="Calibri"/>
          <w:sz w:val="19"/>
          <w:szCs w:val="19"/>
          <w:lang w:val="en-US"/>
        </w:rPr>
      </w:pPr>
      <w:r w:rsidRPr="0060634A">
        <w:rPr>
          <w:rFonts w:cs="Calibri"/>
          <w:sz w:val="19"/>
          <w:szCs w:val="19"/>
          <w:lang w:val="en-US"/>
        </w:rPr>
        <w:t xml:space="preserve">Wintershall Dea was formed from the merger of Wintershall Holding GmbH and DEA Deutsche </w:t>
      </w:r>
      <w:proofErr w:type="spellStart"/>
      <w:r w:rsidRPr="0060634A">
        <w:rPr>
          <w:rFonts w:cs="Calibri"/>
          <w:sz w:val="19"/>
          <w:szCs w:val="19"/>
          <w:lang w:val="en-US"/>
        </w:rPr>
        <w:t>Erdoel</w:t>
      </w:r>
      <w:proofErr w:type="spellEnd"/>
      <w:r w:rsidRPr="0060634A">
        <w:rPr>
          <w:rFonts w:cs="Calibri"/>
          <w:sz w:val="19"/>
          <w:szCs w:val="19"/>
          <w:lang w:val="en-US"/>
        </w:rPr>
        <w:t xml:space="preserve"> AG, in 2019. Today, the company employs more than 2,000 people</w:t>
      </w:r>
      <w:r w:rsidRPr="007C66EB">
        <w:rPr>
          <w:rFonts w:cs="Calibri"/>
          <w:sz w:val="19"/>
          <w:szCs w:val="19"/>
          <w:lang w:val="en-US"/>
        </w:rPr>
        <w:t xml:space="preserve"> worldwide from almost 60 nations.</w:t>
      </w:r>
    </w:p>
    <w:p w14:paraId="4453307E" w14:textId="77777777" w:rsidR="000A5DF3" w:rsidRDefault="000A5DF3" w:rsidP="00350A68">
      <w:pPr>
        <w:spacing w:line="276" w:lineRule="auto"/>
        <w:ind w:right="1417"/>
        <w:jc w:val="both"/>
        <w:rPr>
          <w:rFonts w:cs="Calibri"/>
          <w:sz w:val="19"/>
          <w:szCs w:val="19"/>
          <w:lang w:val="en-US"/>
        </w:rPr>
      </w:pPr>
    </w:p>
    <w:p w14:paraId="433A5FC5" w14:textId="30CEED0D" w:rsidR="00120200" w:rsidRDefault="00120200" w:rsidP="00350A68">
      <w:pPr>
        <w:spacing w:line="276" w:lineRule="auto"/>
        <w:ind w:right="1417"/>
        <w:jc w:val="both"/>
        <w:rPr>
          <w:rFonts w:cs="Calibri"/>
          <w:sz w:val="19"/>
          <w:szCs w:val="19"/>
          <w:lang w:val="en-US"/>
        </w:rPr>
      </w:pPr>
      <w:r w:rsidRPr="00120200">
        <w:rPr>
          <w:rFonts w:cs="Calibri"/>
          <w:sz w:val="19"/>
          <w:szCs w:val="19"/>
          <w:lang w:val="en-US"/>
        </w:rPr>
        <w:t xml:space="preserve">The shareholders of Wintershall Dea (BASF and </w:t>
      </w:r>
      <w:proofErr w:type="spellStart"/>
      <w:r w:rsidRPr="00120200">
        <w:rPr>
          <w:rFonts w:cs="Calibri"/>
          <w:sz w:val="19"/>
          <w:szCs w:val="19"/>
          <w:lang w:val="en-US"/>
        </w:rPr>
        <w:t>LetterOne</w:t>
      </w:r>
      <w:proofErr w:type="spellEnd"/>
      <w:r w:rsidRPr="00120200">
        <w:rPr>
          <w:rFonts w:cs="Calibri"/>
          <w:sz w:val="19"/>
          <w:szCs w:val="19"/>
          <w:lang w:val="en-US"/>
        </w:rPr>
        <w:t xml:space="preserve">) and </w:t>
      </w:r>
      <w:proofErr w:type="spellStart"/>
      <w:r w:rsidRPr="00120200">
        <w:rPr>
          <w:rFonts w:cs="Calibri"/>
          <w:sz w:val="19"/>
          <w:szCs w:val="19"/>
          <w:lang w:val="en-US"/>
        </w:rPr>
        <w:t>Harbour</w:t>
      </w:r>
      <w:proofErr w:type="spellEnd"/>
      <w:r w:rsidRPr="00120200">
        <w:rPr>
          <w:rFonts w:cs="Calibri"/>
          <w:sz w:val="19"/>
          <w:szCs w:val="19"/>
          <w:lang w:val="en-US"/>
        </w:rPr>
        <w:t xml:space="preserve"> Energy plc (</w:t>
      </w:r>
      <w:proofErr w:type="spellStart"/>
      <w:r w:rsidRPr="00120200">
        <w:rPr>
          <w:rFonts w:cs="Calibri"/>
          <w:sz w:val="19"/>
          <w:szCs w:val="19"/>
          <w:lang w:val="en-US"/>
        </w:rPr>
        <w:t>Harbour</w:t>
      </w:r>
      <w:proofErr w:type="spellEnd"/>
      <w:r w:rsidRPr="00120200">
        <w:rPr>
          <w:rFonts w:cs="Calibri"/>
          <w:sz w:val="19"/>
          <w:szCs w:val="19"/>
          <w:lang w:val="en-US"/>
        </w:rPr>
        <w:t xml:space="preserve">) signed a business combination agreement in December 2023 to transfer Wintershall </w:t>
      </w:r>
      <w:proofErr w:type="spellStart"/>
      <w:r w:rsidRPr="00120200">
        <w:rPr>
          <w:rFonts w:cs="Calibri"/>
          <w:sz w:val="19"/>
          <w:szCs w:val="19"/>
          <w:lang w:val="en-US"/>
        </w:rPr>
        <w:t>Dea</w:t>
      </w:r>
      <w:r>
        <w:rPr>
          <w:rFonts w:cs="Calibri"/>
          <w:sz w:val="19"/>
          <w:szCs w:val="19"/>
          <w:lang w:val="en-US"/>
        </w:rPr>
        <w:t>’</w:t>
      </w:r>
      <w:r w:rsidRPr="00120200">
        <w:rPr>
          <w:rFonts w:cs="Calibri"/>
          <w:sz w:val="19"/>
          <w:szCs w:val="19"/>
          <w:lang w:val="en-US"/>
        </w:rPr>
        <w:t>s</w:t>
      </w:r>
      <w:proofErr w:type="spellEnd"/>
      <w:r w:rsidRPr="00120200">
        <w:rPr>
          <w:rFonts w:cs="Calibri"/>
          <w:sz w:val="19"/>
          <w:szCs w:val="19"/>
          <w:lang w:val="en-US"/>
        </w:rPr>
        <w:t xml:space="preserve"> E&amp;P business consisting of its producing and development assets as well as exploration rights in Norway, Argentina, Germany, Mexico, Algeria, Libya (excluding Wintershall AG), Egypt and Denmark (excluding Ravn) as well as Wintershall </w:t>
      </w:r>
      <w:proofErr w:type="spellStart"/>
      <w:r w:rsidRPr="00120200">
        <w:rPr>
          <w:rFonts w:cs="Calibri"/>
          <w:sz w:val="19"/>
          <w:szCs w:val="19"/>
          <w:lang w:val="en-US"/>
        </w:rPr>
        <w:t>Dea</w:t>
      </w:r>
      <w:r>
        <w:rPr>
          <w:rFonts w:cs="Calibri"/>
          <w:sz w:val="19"/>
          <w:szCs w:val="19"/>
          <w:lang w:val="en-US"/>
        </w:rPr>
        <w:t>’</w:t>
      </w:r>
      <w:r w:rsidRPr="00120200">
        <w:rPr>
          <w:rFonts w:cs="Calibri"/>
          <w:sz w:val="19"/>
          <w:szCs w:val="19"/>
          <w:lang w:val="en-US"/>
        </w:rPr>
        <w:t>s</w:t>
      </w:r>
      <w:proofErr w:type="spellEnd"/>
      <w:r w:rsidRPr="00120200">
        <w:rPr>
          <w:rFonts w:cs="Calibri"/>
          <w:sz w:val="19"/>
          <w:szCs w:val="19"/>
          <w:lang w:val="en-US"/>
        </w:rPr>
        <w:t xml:space="preserve"> carbon capture and storage (CCS) licenses to </w:t>
      </w:r>
      <w:proofErr w:type="spellStart"/>
      <w:r w:rsidRPr="00120200">
        <w:rPr>
          <w:rFonts w:cs="Calibri"/>
          <w:sz w:val="19"/>
          <w:szCs w:val="19"/>
          <w:lang w:val="en-US"/>
        </w:rPr>
        <w:t>Harbour</w:t>
      </w:r>
      <w:proofErr w:type="spellEnd"/>
      <w:r w:rsidRPr="00120200">
        <w:rPr>
          <w:rFonts w:cs="Calibri"/>
          <w:sz w:val="19"/>
          <w:szCs w:val="19"/>
          <w:lang w:val="en-US"/>
        </w:rPr>
        <w:t xml:space="preserve">. Until closing, Wintershall Dea and </w:t>
      </w:r>
      <w:proofErr w:type="spellStart"/>
      <w:r w:rsidRPr="00120200">
        <w:rPr>
          <w:rFonts w:cs="Calibri"/>
          <w:sz w:val="19"/>
          <w:szCs w:val="19"/>
          <w:lang w:val="en-US"/>
        </w:rPr>
        <w:t>Harbour</w:t>
      </w:r>
      <w:proofErr w:type="spellEnd"/>
      <w:r w:rsidRPr="00120200">
        <w:rPr>
          <w:rFonts w:cs="Calibri"/>
          <w:sz w:val="19"/>
          <w:szCs w:val="19"/>
          <w:lang w:val="en-US"/>
        </w:rPr>
        <w:t xml:space="preserve"> will continue to operate as independent companies. The transaction is, among other things, subject to approvals of merger control and foreign investment authorities in several countries. Subject to these regulatory approvals, closing is targeted for the fourth quarter of 2024. See the full BASF </w:t>
      </w:r>
      <w:r>
        <w:rPr>
          <w:rFonts w:cs="Calibri"/>
          <w:sz w:val="19"/>
          <w:szCs w:val="19"/>
          <w:lang w:val="en-US"/>
        </w:rPr>
        <w:t>r</w:t>
      </w:r>
      <w:r w:rsidRPr="00120200">
        <w:rPr>
          <w:rFonts w:cs="Calibri"/>
          <w:sz w:val="19"/>
          <w:szCs w:val="19"/>
          <w:lang w:val="en-US"/>
        </w:rPr>
        <w:t xml:space="preserve">elease </w:t>
      </w:r>
      <w:hyperlink r:id="rId13" w:history="1">
        <w:r w:rsidRPr="00120200">
          <w:rPr>
            <w:rStyle w:val="Hyperlink"/>
            <w:rFonts w:cs="Calibri"/>
            <w:i/>
            <w:iCs/>
            <w:sz w:val="19"/>
            <w:szCs w:val="19"/>
            <w:lang w:val="en-US"/>
          </w:rPr>
          <w:t>here</w:t>
        </w:r>
      </w:hyperlink>
      <w:r w:rsidRPr="00120200">
        <w:rPr>
          <w:rFonts w:cs="Calibri"/>
          <w:sz w:val="19"/>
          <w:szCs w:val="19"/>
          <w:lang w:val="en-US"/>
        </w:rPr>
        <w:t>.</w:t>
      </w:r>
    </w:p>
    <w:p w14:paraId="0519C6E4" w14:textId="77777777" w:rsidR="00120200" w:rsidRPr="00653C37" w:rsidRDefault="00120200" w:rsidP="00350A68">
      <w:pPr>
        <w:spacing w:line="276" w:lineRule="auto"/>
        <w:ind w:right="1417"/>
        <w:jc w:val="both"/>
        <w:rPr>
          <w:rFonts w:cs="Calibri"/>
          <w:sz w:val="19"/>
          <w:szCs w:val="19"/>
          <w:lang w:val="en-US"/>
        </w:rPr>
      </w:pPr>
    </w:p>
    <w:p w14:paraId="46783D5F" w14:textId="20319DA4" w:rsidR="0026302B" w:rsidRPr="00653C37" w:rsidRDefault="003C000B" w:rsidP="00350A68">
      <w:pPr>
        <w:spacing w:line="276" w:lineRule="auto"/>
        <w:ind w:right="1417"/>
        <w:jc w:val="both"/>
        <w:rPr>
          <w:sz w:val="19"/>
          <w:szCs w:val="19"/>
          <w:lang w:val="en-US"/>
        </w:rPr>
      </w:pPr>
      <w:r w:rsidRPr="00653C37">
        <w:rPr>
          <w:rFonts w:cs="Calibri"/>
          <w:sz w:val="19"/>
          <w:szCs w:val="19"/>
          <w:lang w:val="en-US"/>
        </w:rPr>
        <w:t>More information on the Internet at</w:t>
      </w:r>
      <w:r w:rsidRPr="00653C37">
        <w:rPr>
          <w:sz w:val="19"/>
          <w:szCs w:val="19"/>
          <w:lang w:val="en-US"/>
        </w:rPr>
        <w:t xml:space="preserve"> </w:t>
      </w:r>
      <w:hyperlink r:id="rId14" w:history="1">
        <w:r w:rsidRPr="0089613C">
          <w:rPr>
            <w:rStyle w:val="Hyperlink"/>
            <w:b/>
            <w:bCs/>
            <w:color w:val="0563C1"/>
            <w:sz w:val="19"/>
            <w:szCs w:val="19"/>
            <w:lang w:val="en-US"/>
          </w:rPr>
          <w:t>www.wintershalldea.com</w:t>
        </w:r>
      </w:hyperlink>
      <w:r w:rsidRPr="00653C37">
        <w:rPr>
          <w:color w:val="2E74B5"/>
          <w:sz w:val="19"/>
          <w:szCs w:val="19"/>
          <w:lang w:val="en-US"/>
        </w:rPr>
        <w:t xml:space="preserve"> </w:t>
      </w:r>
      <w:r w:rsidRPr="00653C37">
        <w:rPr>
          <w:sz w:val="19"/>
          <w:szCs w:val="19"/>
          <w:lang w:val="en-US"/>
        </w:rPr>
        <w:t xml:space="preserve">or follow us on </w:t>
      </w:r>
      <w:hyperlink r:id="rId15" w:history="1">
        <w:r w:rsidRPr="0089613C">
          <w:rPr>
            <w:rStyle w:val="Hyperlink"/>
            <w:b/>
            <w:bCs/>
            <w:color w:val="0563C1"/>
            <w:sz w:val="19"/>
            <w:szCs w:val="19"/>
            <w:lang w:val="en-US"/>
          </w:rPr>
          <w:t>Twitter</w:t>
        </w:r>
      </w:hyperlink>
      <w:r w:rsidRPr="00653C37">
        <w:rPr>
          <w:sz w:val="19"/>
          <w:szCs w:val="19"/>
          <w:lang w:val="en-US"/>
        </w:rPr>
        <w:t xml:space="preserve">, </w:t>
      </w:r>
      <w:hyperlink r:id="rId16" w:history="1">
        <w:r w:rsidRPr="0089613C">
          <w:rPr>
            <w:rStyle w:val="Hyperlink"/>
            <w:b/>
            <w:bCs/>
            <w:color w:val="0563C1"/>
            <w:sz w:val="19"/>
            <w:szCs w:val="19"/>
            <w:lang w:val="en-US"/>
          </w:rPr>
          <w:t>Facebook</w:t>
        </w:r>
      </w:hyperlink>
      <w:r w:rsidRPr="00653C37">
        <w:rPr>
          <w:sz w:val="19"/>
          <w:szCs w:val="19"/>
          <w:lang w:val="en-US"/>
        </w:rPr>
        <w:t xml:space="preserve">, </w:t>
      </w:r>
      <w:hyperlink r:id="rId17" w:history="1">
        <w:r w:rsidRPr="0089613C">
          <w:rPr>
            <w:rStyle w:val="Hyperlink"/>
            <w:b/>
            <w:bCs/>
            <w:color w:val="0563C1"/>
            <w:sz w:val="19"/>
            <w:szCs w:val="19"/>
            <w:lang w:val="en-US"/>
          </w:rPr>
          <w:t>LinkedIn</w:t>
        </w:r>
      </w:hyperlink>
      <w:r w:rsidRPr="00653C37">
        <w:rPr>
          <w:sz w:val="19"/>
          <w:szCs w:val="19"/>
          <w:lang w:val="en-US"/>
        </w:rPr>
        <w:t xml:space="preserve">, </w:t>
      </w:r>
      <w:hyperlink r:id="rId18" w:history="1">
        <w:r w:rsidR="00404B07" w:rsidRPr="0089613C">
          <w:rPr>
            <w:rStyle w:val="Hyperlink"/>
            <w:b/>
            <w:bCs/>
            <w:color w:val="0563C1"/>
            <w:sz w:val="19"/>
            <w:szCs w:val="19"/>
            <w:lang w:val="en-US"/>
          </w:rPr>
          <w:t>YouTube</w:t>
        </w:r>
      </w:hyperlink>
      <w:r w:rsidRPr="00653C37">
        <w:rPr>
          <w:sz w:val="19"/>
          <w:szCs w:val="19"/>
          <w:lang w:val="en-US"/>
        </w:rPr>
        <w:t xml:space="preserve"> </w:t>
      </w:r>
      <w:r w:rsidR="003E604E" w:rsidRPr="00653C37">
        <w:rPr>
          <w:sz w:val="19"/>
          <w:szCs w:val="19"/>
          <w:lang w:val="en-US"/>
        </w:rPr>
        <w:t xml:space="preserve">and </w:t>
      </w:r>
      <w:hyperlink r:id="rId19" w:history="1">
        <w:r w:rsidR="003E604E" w:rsidRPr="0089613C">
          <w:rPr>
            <w:rStyle w:val="Hyperlink"/>
            <w:b/>
            <w:bCs/>
            <w:color w:val="0563C1"/>
            <w:sz w:val="19"/>
            <w:szCs w:val="19"/>
            <w:lang w:val="en-US"/>
          </w:rPr>
          <w:t>Inst</w:t>
        </w:r>
        <w:r w:rsidR="00667A43" w:rsidRPr="0089613C">
          <w:rPr>
            <w:rStyle w:val="Hyperlink"/>
            <w:b/>
            <w:bCs/>
            <w:color w:val="0563C1"/>
            <w:sz w:val="19"/>
            <w:szCs w:val="19"/>
            <w:lang w:val="en-US"/>
          </w:rPr>
          <w:t>agram</w:t>
        </w:r>
      </w:hyperlink>
      <w:r w:rsidR="00667A43" w:rsidRPr="00653C37">
        <w:rPr>
          <w:rFonts w:eastAsia="WintershallDea Office" w:cs="Times New Roman"/>
          <w:sz w:val="19"/>
          <w:szCs w:val="19"/>
          <w:lang w:val="en-US"/>
        </w:rPr>
        <w:t>.</w:t>
      </w:r>
    </w:p>
    <w:sectPr w:rsidR="0026302B" w:rsidRPr="00653C37" w:rsidSect="00D74062">
      <w:headerReference w:type="default" r:id="rId20"/>
      <w:footerReference w:type="default" r:id="rId21"/>
      <w:headerReference w:type="first" r:id="rId22"/>
      <w:footerReference w:type="first" r:id="rId23"/>
      <w:pgSz w:w="11906" w:h="16838" w:code="9"/>
      <w:pgMar w:top="3623" w:right="1418" w:bottom="226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ED38" w14:textId="77777777" w:rsidR="000A53F7" w:rsidRDefault="000A53F7" w:rsidP="000F1E98">
      <w:pPr>
        <w:spacing w:line="240" w:lineRule="auto"/>
      </w:pPr>
      <w:r>
        <w:separator/>
      </w:r>
    </w:p>
  </w:endnote>
  <w:endnote w:type="continuationSeparator" w:id="0">
    <w:p w14:paraId="0A505264" w14:textId="77777777" w:rsidR="000A53F7" w:rsidRDefault="000A53F7" w:rsidP="000F1E98">
      <w:pPr>
        <w:spacing w:line="240" w:lineRule="auto"/>
      </w:pPr>
      <w:r>
        <w:continuationSeparator/>
      </w:r>
    </w:p>
  </w:endnote>
  <w:endnote w:type="continuationNotice" w:id="1">
    <w:p w14:paraId="247B1DC0" w14:textId="77777777" w:rsidR="000A53F7" w:rsidRDefault="000A53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tershallDea Office">
    <w:panose1 w:val="020B0503040000020003"/>
    <w:charset w:val="00"/>
    <w:family w:val="swiss"/>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6"/>
      <w:gridCol w:w="2159"/>
    </w:tblGrid>
    <w:tr w:rsidR="00C410FD" w14:paraId="4A6AA68A" w14:textId="77777777" w:rsidTr="00C410FD">
      <w:tc>
        <w:tcPr>
          <w:tcW w:w="1826" w:type="dxa"/>
        </w:tcPr>
        <w:p w14:paraId="7A6C78A5" w14:textId="77777777" w:rsidR="00C410FD" w:rsidRDefault="00C410FD" w:rsidP="0063308B">
          <w:pPr>
            <w:pStyle w:val="Fuzeile"/>
          </w:pPr>
        </w:p>
      </w:tc>
      <w:tc>
        <w:tcPr>
          <w:tcW w:w="2159" w:type="dxa"/>
        </w:tcPr>
        <w:p w14:paraId="2E5D3FF0" w14:textId="77777777" w:rsidR="00C410FD" w:rsidRDefault="00C410FD" w:rsidP="0063308B">
          <w:pPr>
            <w:pStyle w:val="Fuzeile"/>
          </w:pPr>
        </w:p>
      </w:tc>
    </w:tr>
  </w:tbl>
  <w:p w14:paraId="7883D97E" w14:textId="77777777" w:rsidR="00EE5C7D" w:rsidRDefault="00EE5C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4512"/>
      <w:gridCol w:w="578"/>
    </w:tblGrid>
    <w:tr w:rsidR="00B2187E" w:rsidRPr="002B43B1" w14:paraId="225D2123" w14:textId="77777777" w:rsidTr="00B2187E">
      <w:tc>
        <w:tcPr>
          <w:tcW w:w="3119" w:type="dxa"/>
        </w:tcPr>
        <w:p w14:paraId="487E0216" w14:textId="77777777" w:rsidR="00B2187E" w:rsidRPr="002B43B1" w:rsidRDefault="00B2187E" w:rsidP="00F666D7">
          <w:pPr>
            <w:pStyle w:val="Fuzeile"/>
            <w:rPr>
              <w:b/>
            </w:rPr>
          </w:pPr>
          <w:r w:rsidRPr="002B43B1">
            <w:rPr>
              <w:b/>
            </w:rPr>
            <w:t xml:space="preserve">Wintershall Dea </w:t>
          </w:r>
          <w:r w:rsidR="004A45D7">
            <w:rPr>
              <w:b/>
            </w:rPr>
            <w:t>AG</w:t>
          </w:r>
        </w:p>
        <w:p w14:paraId="3F5ECA9F" w14:textId="77777777" w:rsidR="0061431A" w:rsidRPr="00913F18" w:rsidRDefault="0061431A" w:rsidP="0061431A">
          <w:pPr>
            <w:pStyle w:val="Fuzeile"/>
          </w:pPr>
          <w:r w:rsidRPr="00913F18">
            <w:t>Friedrich-Ebert-Str. 160, 34119 Kassel</w:t>
          </w:r>
        </w:p>
        <w:p w14:paraId="329001BD" w14:textId="55E03BC3" w:rsidR="0061431A" w:rsidRPr="00913F18" w:rsidRDefault="0061431A" w:rsidP="0061431A">
          <w:pPr>
            <w:pStyle w:val="Fuzeile"/>
            <w:spacing w:after="60"/>
          </w:pPr>
          <w:r w:rsidRPr="00913F18">
            <w:t>T +49 561 301-0</w:t>
          </w:r>
        </w:p>
        <w:p w14:paraId="599F908B" w14:textId="77777777" w:rsidR="0061431A" w:rsidRPr="00913F18" w:rsidRDefault="0061431A" w:rsidP="0061431A">
          <w:pPr>
            <w:pStyle w:val="Fuzeile"/>
          </w:pPr>
          <w:r>
            <w:t xml:space="preserve">Am </w:t>
          </w:r>
          <w:proofErr w:type="spellStart"/>
          <w:r>
            <w:t>Lohsepark</w:t>
          </w:r>
          <w:proofErr w:type="spellEnd"/>
          <w:r>
            <w:t xml:space="preserve"> 8, 20457</w:t>
          </w:r>
          <w:r w:rsidRPr="00913F18">
            <w:t xml:space="preserve"> Hamburg</w:t>
          </w:r>
        </w:p>
        <w:p w14:paraId="5978F904" w14:textId="16618594" w:rsidR="0061431A" w:rsidRPr="00913F18" w:rsidRDefault="0061431A" w:rsidP="0061431A">
          <w:pPr>
            <w:pStyle w:val="Fuzeile"/>
          </w:pPr>
          <w:r w:rsidRPr="00913F18">
            <w:t>T +49 40 6375-0</w:t>
          </w:r>
        </w:p>
        <w:p w14:paraId="467B9EAE" w14:textId="77777777" w:rsidR="00B2187E" w:rsidRPr="002B43B1" w:rsidRDefault="00B2187E" w:rsidP="00F666D7">
          <w:pPr>
            <w:pStyle w:val="Fuzeile"/>
          </w:pPr>
          <w:r w:rsidRPr="002B43B1">
            <w:t>www.wintershalldea.com</w:t>
          </w:r>
        </w:p>
      </w:tc>
      <w:tc>
        <w:tcPr>
          <w:tcW w:w="4512" w:type="dxa"/>
        </w:tcPr>
        <w:p w14:paraId="490AB2A7" w14:textId="65026146" w:rsidR="00B2187E" w:rsidRPr="002B43B1" w:rsidRDefault="00B2187E" w:rsidP="005F27DC">
          <w:pPr>
            <w:pStyle w:val="Fuzeile"/>
          </w:pPr>
        </w:p>
      </w:tc>
      <w:tc>
        <w:tcPr>
          <w:tcW w:w="578" w:type="dxa"/>
        </w:tcPr>
        <w:p w14:paraId="3A747FF1" w14:textId="77777777" w:rsidR="00B2187E" w:rsidRPr="002B43B1" w:rsidRDefault="00B2187E" w:rsidP="00764101">
          <w:pPr>
            <w:pStyle w:val="Fuzeile"/>
          </w:pPr>
        </w:p>
      </w:tc>
    </w:tr>
  </w:tbl>
  <w:p w14:paraId="69CCF45C" w14:textId="77777777" w:rsidR="0096467B" w:rsidRPr="002B43B1" w:rsidRDefault="009646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6254" w14:textId="77777777" w:rsidR="000A53F7" w:rsidRDefault="000A53F7" w:rsidP="000F1E98">
      <w:pPr>
        <w:spacing w:line="240" w:lineRule="auto"/>
      </w:pPr>
      <w:r>
        <w:separator/>
      </w:r>
    </w:p>
  </w:footnote>
  <w:footnote w:type="continuationSeparator" w:id="0">
    <w:p w14:paraId="0DF13C2B" w14:textId="77777777" w:rsidR="000A53F7" w:rsidRDefault="000A53F7" w:rsidP="000F1E98">
      <w:pPr>
        <w:spacing w:line="240" w:lineRule="auto"/>
      </w:pPr>
      <w:r>
        <w:continuationSeparator/>
      </w:r>
    </w:p>
  </w:footnote>
  <w:footnote w:type="continuationNotice" w:id="1">
    <w:p w14:paraId="18737B0A" w14:textId="77777777" w:rsidR="000A53F7" w:rsidRDefault="000A53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bottomFromText="454" w:vertAnchor="page" w:horzAnchor="page" w:tblpX="1419" w:tblpY="3624"/>
      <w:tblOverlap w:val="never"/>
      <w:tblW w:w="0" w:type="auto"/>
      <w:tblBorders>
        <w:top w:val="single" w:sz="4" w:space="0" w:color="000000" w:themeColor="text1"/>
        <w:left w:val="none" w:sz="0" w:space="0" w:color="auto"/>
        <w:bottom w:val="single" w:sz="4" w:space="0" w:color="000000" w:themeColor="text1"/>
        <w:right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552"/>
      <w:gridCol w:w="2552"/>
      <w:gridCol w:w="2551"/>
    </w:tblGrid>
    <w:tr w:rsidR="0063308B" w:rsidRPr="002B43B1" w14:paraId="334401F8" w14:textId="77777777" w:rsidTr="35E5F7D4">
      <w:tc>
        <w:tcPr>
          <w:tcW w:w="2552" w:type="dxa"/>
          <w:tcBorders>
            <w:bottom w:val="single" w:sz="4" w:space="0" w:color="auto"/>
          </w:tcBorders>
        </w:tcPr>
        <w:p w14:paraId="2DAC2502" w14:textId="77777777" w:rsidR="0063308B" w:rsidRPr="002B43B1" w:rsidRDefault="00627455" w:rsidP="00673ADC">
          <w:pPr>
            <w:pStyle w:val="Textklein"/>
            <w:rPr>
              <w:szCs w:val="13"/>
            </w:rPr>
          </w:pPr>
          <w:r w:rsidRPr="002B43B1">
            <w:rPr>
              <w:szCs w:val="13"/>
            </w:rPr>
            <w:t>Date</w:t>
          </w:r>
          <w:r w:rsidR="0063308B" w:rsidRPr="002B43B1">
            <w:rPr>
              <w:szCs w:val="13"/>
            </w:rPr>
            <w:t>:</w:t>
          </w:r>
        </w:p>
        <w:p w14:paraId="40149BB0" w14:textId="680266CB" w:rsidR="0063308B" w:rsidRPr="002B43B1" w:rsidRDefault="004E0AEE" w:rsidP="35E5F7D4">
          <w:pPr>
            <w:pStyle w:val="Kontaktinfo"/>
            <w:rPr>
              <w:noProof/>
            </w:rPr>
          </w:pPr>
          <w:r>
            <w:rPr>
              <w:noProof/>
            </w:rPr>
            <w:t>01.02.</w:t>
          </w:r>
          <w:r w:rsidR="35E5F7D4" w:rsidRPr="00F6320B">
            <w:rPr>
              <w:noProof/>
            </w:rPr>
            <w:t>202</w:t>
          </w:r>
          <w:r w:rsidR="00120200">
            <w:rPr>
              <w:noProof/>
            </w:rPr>
            <w:t>4</w:t>
          </w:r>
        </w:p>
      </w:tc>
      <w:tc>
        <w:tcPr>
          <w:tcW w:w="2552" w:type="dxa"/>
          <w:tcBorders>
            <w:bottom w:val="single" w:sz="4" w:space="0" w:color="auto"/>
          </w:tcBorders>
        </w:tcPr>
        <w:p w14:paraId="71A5803B" w14:textId="77777777" w:rsidR="0063308B" w:rsidRPr="002B43B1" w:rsidRDefault="0063308B" w:rsidP="005F27DC">
          <w:pPr>
            <w:pStyle w:val="Textklein"/>
            <w:jc w:val="center"/>
          </w:pPr>
        </w:p>
        <w:p w14:paraId="75355AB4" w14:textId="3ACE1ED8" w:rsidR="0063308B" w:rsidRPr="002B43B1" w:rsidRDefault="0063308B" w:rsidP="35E5F7D4">
          <w:pPr>
            <w:pStyle w:val="Textklein"/>
            <w:rPr>
              <w:sz w:val="16"/>
              <w:szCs w:val="16"/>
            </w:rPr>
          </w:pPr>
        </w:p>
      </w:tc>
      <w:tc>
        <w:tcPr>
          <w:tcW w:w="2551" w:type="dxa"/>
          <w:tcBorders>
            <w:bottom w:val="single" w:sz="4" w:space="0" w:color="auto"/>
          </w:tcBorders>
        </w:tcPr>
        <w:p w14:paraId="1AE5B496" w14:textId="77777777" w:rsidR="00D431D5" w:rsidRPr="002B43B1" w:rsidRDefault="00627455" w:rsidP="00D3349E">
          <w:pPr>
            <w:pStyle w:val="Textklein"/>
            <w:ind w:left="567"/>
            <w:rPr>
              <w:szCs w:val="13"/>
            </w:rPr>
          </w:pPr>
          <w:r w:rsidRPr="002B43B1">
            <w:rPr>
              <w:szCs w:val="13"/>
            </w:rPr>
            <w:t>Page</w:t>
          </w:r>
          <w:r w:rsidR="00D431D5" w:rsidRPr="002B43B1">
            <w:rPr>
              <w:szCs w:val="13"/>
            </w:rPr>
            <w:t>:</w:t>
          </w:r>
        </w:p>
        <w:p w14:paraId="794DA871" w14:textId="77777777" w:rsidR="0063308B" w:rsidRPr="002B43B1" w:rsidRDefault="00D431D5" w:rsidP="00D3349E">
          <w:pPr>
            <w:pStyle w:val="Kontaktinfo"/>
            <w:ind w:left="567"/>
          </w:pPr>
          <w:r w:rsidRPr="002B43B1">
            <w:fldChar w:fldCharType="begin"/>
          </w:r>
          <w:r w:rsidRPr="002B43B1">
            <w:instrText xml:space="preserve"> PAGE   \* MERGEFORMAT </w:instrText>
          </w:r>
          <w:r w:rsidRPr="002B43B1">
            <w:fldChar w:fldCharType="separate"/>
          </w:r>
          <w:r w:rsidR="00404B07">
            <w:rPr>
              <w:noProof/>
            </w:rPr>
            <w:t>2</w:t>
          </w:r>
          <w:r w:rsidRPr="002B43B1">
            <w:fldChar w:fldCharType="end"/>
          </w:r>
          <w:r w:rsidR="00627455" w:rsidRPr="002B43B1">
            <w:t xml:space="preserve"> of</w:t>
          </w:r>
          <w:r w:rsidRPr="002B43B1">
            <w:t xml:space="preserve"> </w:t>
          </w:r>
          <w:r w:rsidRPr="002B43B1">
            <w:rPr>
              <w:noProof/>
            </w:rPr>
            <w:fldChar w:fldCharType="begin"/>
          </w:r>
          <w:r w:rsidRPr="002B43B1">
            <w:rPr>
              <w:noProof/>
            </w:rPr>
            <w:instrText xml:space="preserve"> NUMPAGES   \* MERGEFORMAT </w:instrText>
          </w:r>
          <w:r w:rsidRPr="002B43B1">
            <w:rPr>
              <w:noProof/>
            </w:rPr>
            <w:fldChar w:fldCharType="separate"/>
          </w:r>
          <w:r w:rsidR="00404B07">
            <w:rPr>
              <w:noProof/>
            </w:rPr>
            <w:t>2</w:t>
          </w:r>
          <w:r w:rsidRPr="002B43B1">
            <w:rPr>
              <w:noProof/>
            </w:rPr>
            <w:fldChar w:fldCharType="end"/>
          </w:r>
        </w:p>
      </w:tc>
    </w:tr>
  </w:tbl>
  <w:p w14:paraId="530C57F1" w14:textId="77777777" w:rsidR="000F1E98" w:rsidRPr="002B43B1" w:rsidRDefault="002D6724" w:rsidP="00C5227C">
    <w:pPr>
      <w:pStyle w:val="Kopfzeile"/>
    </w:pPr>
    <w:r w:rsidRPr="002B43B1">
      <w:rPr>
        <w:noProof/>
        <w:lang w:eastAsia="de-DE"/>
      </w:rPr>
      <mc:AlternateContent>
        <mc:Choice Requires="wps">
          <w:drawing>
            <wp:anchor distT="0" distB="0" distL="114300" distR="114300" simplePos="0" relativeHeight="251658243" behindDoc="0" locked="0" layoutInCell="1" allowOverlap="1" wp14:anchorId="5700CDB2" wp14:editId="54E018E7">
              <wp:simplePos x="0" y="0"/>
              <wp:positionH relativeFrom="page">
                <wp:posOffset>144145</wp:posOffset>
              </wp:positionH>
              <wp:positionV relativeFrom="page">
                <wp:posOffset>3780790</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D190BA" id="Straight Connector 7" o:spid="_x0000_s1026"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" strokecolor="#11235b [3204]" strokeweight=".5pt">
              <w10:wrap anchorx="page" anchory="page"/>
            </v:line>
          </w:pict>
        </mc:Fallback>
      </mc:AlternateContent>
    </w:r>
    <w:r w:rsidR="0036074C" w:rsidRPr="002B43B1">
      <w:rPr>
        <w:noProof/>
        <w:lang w:eastAsia="de-DE"/>
      </w:rPr>
      <mc:AlternateContent>
        <mc:Choice Requires="wps">
          <w:drawing>
            <wp:anchor distT="0" distB="0" distL="114300" distR="114300" simplePos="0" relativeHeight="251658241" behindDoc="0" locked="0" layoutInCell="1" allowOverlap="1" wp14:anchorId="34283DB2" wp14:editId="06D39F19">
              <wp:simplePos x="0" y="0"/>
              <wp:positionH relativeFrom="page">
                <wp:posOffset>885825</wp:posOffset>
              </wp:positionH>
              <wp:positionV relativeFrom="page">
                <wp:posOffset>1965960</wp:posOffset>
              </wp:positionV>
              <wp:extent cx="2026800" cy="234000"/>
              <wp:effectExtent l="0" t="0" r="0" b="0"/>
              <wp:wrapNone/>
              <wp:docPr id="13" name="Rectangle 13"/>
              <wp:cNvGraphicFramePr/>
              <a:graphic xmlns:a="http://schemas.openxmlformats.org/drawingml/2006/main">
                <a:graphicData uri="http://schemas.microsoft.com/office/word/2010/wordprocessingShape">
                  <wps:wsp>
                    <wps:cNvSpPr/>
                    <wps:spPr>
                      <a:xfrm>
                        <a:off x="0" y="0"/>
                        <a:ext cx="2026800" cy="23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BA67E" w14:textId="3685A69E" w:rsidR="0036074C" w:rsidRPr="002B43B1" w:rsidRDefault="00DF621B" w:rsidP="0036074C">
                          <w:pPr>
                            <w:rPr>
                              <w:caps/>
                              <w:color w:val="000000" w:themeColor="text1"/>
                              <w:sz w:val="26"/>
                              <w:szCs w:val="26"/>
                            </w:rPr>
                          </w:pPr>
                          <w:r>
                            <w:rPr>
                              <w:caps/>
                              <w:color w:val="000000" w:themeColor="text1"/>
                              <w:sz w:val="26"/>
                              <w:szCs w:val="26"/>
                            </w:rPr>
                            <w:t>NEWS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3DB2" id="Rectangle 13" o:spid="_x0000_s1026" style="position:absolute;margin-left:69.75pt;margin-top:154.8pt;width:159.6pt;height:18.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" filled="f" stroked="f" strokeweight="2pt">
              <v:textbox inset="0,0,0,0">
                <w:txbxContent>
                  <w:p w14:paraId="187BA67E" w14:textId="3685A69E" w:rsidR="0036074C" w:rsidRPr="002B43B1" w:rsidRDefault="00DF621B" w:rsidP="0036074C">
                    <w:pPr>
                      <w:rPr>
                        <w:caps/>
                        <w:color w:val="000000" w:themeColor="text1"/>
                        <w:sz w:val="26"/>
                        <w:szCs w:val="26"/>
                      </w:rPr>
                    </w:pPr>
                    <w:r>
                      <w:rPr>
                        <w:caps/>
                        <w:color w:val="000000" w:themeColor="text1"/>
                        <w:sz w:val="26"/>
                        <w:szCs w:val="26"/>
                      </w:rPr>
                      <w:t>NEWS</w:t>
                    </w:r>
                  </w:p>
                </w:txbxContent>
              </v:textbox>
              <w10:wrap anchorx="page" anchory="page"/>
            </v:rect>
          </w:pict>
        </mc:Fallback>
      </mc:AlternateContent>
    </w:r>
    <w:r w:rsidRPr="002B43B1">
      <w:rPr>
        <w:noProof/>
        <w:lang w:eastAsia="de-DE"/>
      </w:rPr>
      <w:drawing>
        <wp:anchor distT="0" distB="0" distL="114300" distR="114300" simplePos="0" relativeHeight="251658244" behindDoc="1" locked="0" layoutInCell="1" allowOverlap="1" wp14:anchorId="7F8B35DB" wp14:editId="1A9E001B">
          <wp:simplePos x="0" y="0"/>
          <wp:positionH relativeFrom="page">
            <wp:posOffset>3204210</wp:posOffset>
          </wp:positionH>
          <wp:positionV relativeFrom="page">
            <wp:posOffset>644525</wp:posOffset>
          </wp:positionV>
          <wp:extent cx="1155600" cy="8388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_M_P_RGB.emf"/>
                  <pic:cNvPicPr/>
                </pic:nvPicPr>
                <pic:blipFill>
                  <a:blip r:embed="rId1">
                    <a:extLst>
                      <a:ext uri="{28A0092B-C50C-407E-A947-70E740481C1C}">
                        <a14:useLocalDpi xmlns:a14="http://schemas.microsoft.com/office/drawing/2010/main" val="0"/>
                      </a:ext>
                    </a:extLst>
                  </a:blip>
                  <a:stretch>
                    <a:fillRect/>
                  </a:stretch>
                </pic:blipFill>
                <pic:spPr>
                  <a:xfrm>
                    <a:off x="0" y="0"/>
                    <a:ext cx="1155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D351" w14:textId="77777777" w:rsidR="000F1E98" w:rsidRDefault="00052C7C" w:rsidP="005F27DC">
    <w:pPr>
      <w:pStyle w:val="Kopfzeile"/>
      <w:tabs>
        <w:tab w:val="clear" w:pos="9072"/>
        <w:tab w:val="right" w:pos="9070"/>
      </w:tabs>
    </w:pPr>
    <w:r>
      <w:rPr>
        <w:noProof/>
        <w:lang w:eastAsia="de-DE"/>
      </w:rPr>
      <w:drawing>
        <wp:anchor distT="0" distB="0" distL="114300" distR="114300" simplePos="0" relativeHeight="251658245" behindDoc="1" locked="0" layoutInCell="1" allowOverlap="1" wp14:anchorId="3A76D4DD" wp14:editId="7BD0FFF1">
          <wp:simplePos x="0" y="0"/>
          <wp:positionH relativeFrom="margin">
            <wp:align>center</wp:align>
          </wp:positionH>
          <wp:positionV relativeFrom="page">
            <wp:posOffset>657225</wp:posOffset>
          </wp:positionV>
          <wp:extent cx="1155600" cy="838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_M_P_RGB.emf"/>
                  <pic:cNvPicPr/>
                </pic:nvPicPr>
                <pic:blipFill>
                  <a:blip r:embed="rId1">
                    <a:extLst>
                      <a:ext uri="{28A0092B-C50C-407E-A947-70E740481C1C}">
                        <a14:useLocalDpi xmlns:a14="http://schemas.microsoft.com/office/drawing/2010/main" val="0"/>
                      </a:ext>
                    </a:extLst>
                  </a:blip>
                  <a:stretch>
                    <a:fillRect/>
                  </a:stretch>
                </pic:blipFill>
                <pic:spPr>
                  <a:xfrm>
                    <a:off x="0" y="0"/>
                    <a:ext cx="1155600" cy="838800"/>
                  </a:xfrm>
                  <a:prstGeom prst="rect">
                    <a:avLst/>
                  </a:prstGeom>
                </pic:spPr>
              </pic:pic>
            </a:graphicData>
          </a:graphic>
          <wp14:sizeRelH relativeFrom="margin">
            <wp14:pctWidth>0</wp14:pctWidth>
          </wp14:sizeRelH>
          <wp14:sizeRelV relativeFrom="margin">
            <wp14:pctHeight>0</wp14:pctHeight>
          </wp14:sizeRelV>
        </wp:anchor>
      </w:drawing>
    </w:r>
    <w:r w:rsidR="002D6724">
      <w:rPr>
        <w:noProof/>
        <w:lang w:eastAsia="de-DE"/>
      </w:rPr>
      <mc:AlternateContent>
        <mc:Choice Requires="wps">
          <w:drawing>
            <wp:anchor distT="0" distB="0" distL="114300" distR="114300" simplePos="0" relativeHeight="251658242" behindDoc="0" locked="0" layoutInCell="1" allowOverlap="1" wp14:anchorId="1BF7C2B4" wp14:editId="0AF53A80">
              <wp:simplePos x="0" y="0"/>
              <wp:positionH relativeFrom="page">
                <wp:posOffset>144379</wp:posOffset>
              </wp:positionH>
              <wp:positionV relativeFrom="page">
                <wp:posOffset>3780589</wp:posOffset>
              </wp:positionV>
              <wp:extent cx="109621"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109621"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C23D2" id="Straight Connector 6" o:spid="_x0000_s1026"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297.7pt" to="20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" strokecolor="#11235b [3204]" strokeweight=".5pt">
              <w10:wrap anchorx="page" anchory="page"/>
            </v:line>
          </w:pict>
        </mc:Fallback>
      </mc:AlternateContent>
    </w:r>
    <w:r w:rsidR="0036074C">
      <w:rPr>
        <w:noProof/>
        <w:lang w:eastAsia="de-DE"/>
      </w:rPr>
      <mc:AlternateContent>
        <mc:Choice Requires="wps">
          <w:drawing>
            <wp:anchor distT="0" distB="0" distL="114300" distR="114300" simplePos="0" relativeHeight="251658240" behindDoc="0" locked="0" layoutInCell="1" allowOverlap="1" wp14:anchorId="7CD2026F" wp14:editId="1FB45689">
              <wp:simplePos x="0" y="0"/>
              <wp:positionH relativeFrom="page">
                <wp:posOffset>885138</wp:posOffset>
              </wp:positionH>
              <wp:positionV relativeFrom="page">
                <wp:posOffset>1967789</wp:posOffset>
              </wp:positionV>
              <wp:extent cx="2026311" cy="234315"/>
              <wp:effectExtent l="0" t="0" r="0" b="0"/>
              <wp:wrapNone/>
              <wp:docPr id="3" name="Rectangle 3"/>
              <wp:cNvGraphicFramePr/>
              <a:graphic xmlns:a="http://schemas.openxmlformats.org/drawingml/2006/main">
                <a:graphicData uri="http://schemas.microsoft.com/office/word/2010/wordprocessingShape">
                  <wps:wsp>
                    <wps:cNvSpPr/>
                    <wps:spPr>
                      <a:xfrm>
                        <a:off x="0" y="0"/>
                        <a:ext cx="2026311" cy="234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6B0D7" w14:textId="2280E30C" w:rsidR="003C5C9A" w:rsidRPr="002B43B1" w:rsidRDefault="00DF621B" w:rsidP="0036074C">
                          <w:pPr>
                            <w:rPr>
                              <w:caps/>
                              <w:color w:val="000000" w:themeColor="text1"/>
                              <w:sz w:val="26"/>
                              <w:szCs w:val="26"/>
                            </w:rPr>
                          </w:pPr>
                          <w:r>
                            <w:rPr>
                              <w:caps/>
                              <w:color w:val="000000" w:themeColor="text1"/>
                              <w:sz w:val="26"/>
                              <w:szCs w:val="26"/>
                            </w:rPr>
                            <w:t>NEWS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2026F" id="Rectangle 3" o:spid="_x0000_s1027" style="position:absolute;margin-left:69.7pt;margin-top:154.95pt;width:159.55pt;height:1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" filled="f" stroked="f" strokeweight="2pt">
              <v:textbox inset="0,0,0,0">
                <w:txbxContent>
                  <w:p w14:paraId="3CB6B0D7" w14:textId="2280E30C" w:rsidR="003C5C9A" w:rsidRPr="002B43B1" w:rsidRDefault="00DF621B" w:rsidP="0036074C">
                    <w:pPr>
                      <w:rPr>
                        <w:caps/>
                        <w:color w:val="000000" w:themeColor="text1"/>
                        <w:sz w:val="26"/>
                        <w:szCs w:val="26"/>
                      </w:rPr>
                    </w:pPr>
                    <w:r>
                      <w:rPr>
                        <w:caps/>
                        <w:color w:val="000000" w:themeColor="text1"/>
                        <w:sz w:val="26"/>
                        <w:szCs w:val="26"/>
                      </w:rPr>
                      <w:t>NEWS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75pt;height:9.75pt" o:bullet="t">
        <v:imagedata r:id="rId1" o:title="Stained Glass Ball"/>
      </v:shape>
    </w:pict>
  </w:numPicBullet>
  <w:abstractNum w:abstractNumId="0" w15:restartNumberingAfterBreak="0">
    <w:nsid w:val="FFFFFF7C"/>
    <w:multiLevelType w:val="singleLevel"/>
    <w:tmpl w:val="DB7803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86F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8D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8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E07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0E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64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6F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687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2F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A3733"/>
    <w:multiLevelType w:val="hybridMultilevel"/>
    <w:tmpl w:val="DEF2A7A2"/>
    <w:lvl w:ilvl="0" w:tplc="04070001">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 w15:restartNumberingAfterBreak="0">
    <w:nsid w:val="07FA255C"/>
    <w:multiLevelType w:val="hybridMultilevel"/>
    <w:tmpl w:val="07F6BFA6"/>
    <w:lvl w:ilvl="0" w:tplc="0407000F">
      <w:start w:val="1"/>
      <w:numFmt w:val="decimal"/>
      <w:lvlText w:val="%1."/>
      <w:lvlJc w:val="left"/>
      <w:pPr>
        <w:ind w:left="814" w:hanging="360"/>
      </w:pPr>
      <w:rPr>
        <w:rFonts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0E1B4435"/>
    <w:multiLevelType w:val="hybridMultilevel"/>
    <w:tmpl w:val="BEAEAEC4"/>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3" w15:restartNumberingAfterBreak="0">
    <w:nsid w:val="25416905"/>
    <w:multiLevelType w:val="hybridMultilevel"/>
    <w:tmpl w:val="619C1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EF44BD"/>
    <w:multiLevelType w:val="hybridMultilevel"/>
    <w:tmpl w:val="AF803C4E"/>
    <w:lvl w:ilvl="0" w:tplc="B3B00A6C">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FC741B"/>
    <w:multiLevelType w:val="hybridMultilevel"/>
    <w:tmpl w:val="04DCEDD4"/>
    <w:lvl w:ilvl="0" w:tplc="A75AB3C4">
      <w:start w:val="1"/>
      <w:numFmt w:val="bullet"/>
      <w:lvlText w:val="•"/>
      <w:lvlJc w:val="left"/>
      <w:pPr>
        <w:ind w:left="814" w:hanging="360"/>
      </w:pPr>
      <w:rPr>
        <w:rFonts w:ascii="WintershallDea Office" w:hAnsi="WintershallDea Office"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6" w15:restartNumberingAfterBreak="0">
    <w:nsid w:val="37417663"/>
    <w:multiLevelType w:val="hybridMultilevel"/>
    <w:tmpl w:val="2C288A42"/>
    <w:lvl w:ilvl="0" w:tplc="81B81928">
      <w:start w:val="1"/>
      <w:numFmt w:val="bullet"/>
      <w:lvlText w:val=""/>
      <w:lvlJc w:val="left"/>
      <w:pPr>
        <w:ind w:left="851" w:hanging="39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2A5CC2"/>
    <w:multiLevelType w:val="hybridMultilevel"/>
    <w:tmpl w:val="99E69280"/>
    <w:lvl w:ilvl="0" w:tplc="D0FA81D0">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88299A"/>
    <w:multiLevelType w:val="hybridMultilevel"/>
    <w:tmpl w:val="69DECA78"/>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9" w15:restartNumberingAfterBreak="0">
    <w:nsid w:val="44AE7EEC"/>
    <w:multiLevelType w:val="hybridMultilevel"/>
    <w:tmpl w:val="13389DBC"/>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0" w15:restartNumberingAfterBreak="0">
    <w:nsid w:val="494A513A"/>
    <w:multiLevelType w:val="hybridMultilevel"/>
    <w:tmpl w:val="A89E48B8"/>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4B4E3237"/>
    <w:multiLevelType w:val="hybridMultilevel"/>
    <w:tmpl w:val="2BDE2E04"/>
    <w:lvl w:ilvl="0" w:tplc="85487FB4">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A60EA4"/>
    <w:multiLevelType w:val="hybridMultilevel"/>
    <w:tmpl w:val="D848C592"/>
    <w:lvl w:ilvl="0" w:tplc="0407000F">
      <w:start w:val="1"/>
      <w:numFmt w:val="decimal"/>
      <w:lvlText w:val="%1."/>
      <w:lvlJc w:val="left"/>
      <w:pPr>
        <w:ind w:left="814" w:hanging="360"/>
      </w:pPr>
      <w:rPr>
        <w:rFonts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68E42E6F"/>
    <w:multiLevelType w:val="hybridMultilevel"/>
    <w:tmpl w:val="40008BFA"/>
    <w:lvl w:ilvl="0" w:tplc="A75AB3C4">
      <w:start w:val="1"/>
      <w:numFmt w:val="bullet"/>
      <w:lvlText w:val="•"/>
      <w:lvlJc w:val="left"/>
      <w:pPr>
        <w:ind w:left="814" w:hanging="360"/>
      </w:pPr>
      <w:rPr>
        <w:rFonts w:ascii="WintershallDea Office" w:hAnsi="WintershallDea Office"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4" w15:restartNumberingAfterBreak="0">
    <w:nsid w:val="6BFB4A4E"/>
    <w:multiLevelType w:val="hybridMultilevel"/>
    <w:tmpl w:val="C4881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3A753C"/>
    <w:multiLevelType w:val="hybridMultilevel"/>
    <w:tmpl w:val="81E833D2"/>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6" w15:restartNumberingAfterBreak="0">
    <w:nsid w:val="74FD5317"/>
    <w:multiLevelType w:val="hybridMultilevel"/>
    <w:tmpl w:val="B70AA356"/>
    <w:lvl w:ilvl="0" w:tplc="0C16FC62">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316C51"/>
    <w:multiLevelType w:val="hybridMultilevel"/>
    <w:tmpl w:val="CC5ED1F4"/>
    <w:lvl w:ilvl="0" w:tplc="A75AB3C4">
      <w:start w:val="1"/>
      <w:numFmt w:val="bullet"/>
      <w:lvlText w:val="•"/>
      <w:lvlJc w:val="left"/>
      <w:pPr>
        <w:ind w:left="851" w:hanging="397"/>
      </w:pPr>
      <w:rPr>
        <w:rFonts w:ascii="WintershallDea Office" w:hAnsi="WintershallDea Office"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C45A7C"/>
    <w:multiLevelType w:val="hybridMultilevel"/>
    <w:tmpl w:val="0FEE622C"/>
    <w:lvl w:ilvl="0" w:tplc="6584ED5E">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987030">
    <w:abstractNumId w:val="9"/>
  </w:num>
  <w:num w:numId="2" w16cid:durableId="391857767">
    <w:abstractNumId w:val="7"/>
  </w:num>
  <w:num w:numId="3" w16cid:durableId="885020260">
    <w:abstractNumId w:val="6"/>
  </w:num>
  <w:num w:numId="4" w16cid:durableId="1890334403">
    <w:abstractNumId w:val="5"/>
  </w:num>
  <w:num w:numId="5" w16cid:durableId="800421632">
    <w:abstractNumId w:val="4"/>
  </w:num>
  <w:num w:numId="6" w16cid:durableId="1250381468">
    <w:abstractNumId w:val="8"/>
  </w:num>
  <w:num w:numId="7" w16cid:durableId="927617320">
    <w:abstractNumId w:val="3"/>
  </w:num>
  <w:num w:numId="8" w16cid:durableId="1462846517">
    <w:abstractNumId w:val="2"/>
  </w:num>
  <w:num w:numId="9" w16cid:durableId="1007635180">
    <w:abstractNumId w:val="1"/>
  </w:num>
  <w:num w:numId="10" w16cid:durableId="1311638959">
    <w:abstractNumId w:val="0"/>
  </w:num>
  <w:num w:numId="11" w16cid:durableId="1064645201">
    <w:abstractNumId w:val="13"/>
  </w:num>
  <w:num w:numId="12" w16cid:durableId="839319771">
    <w:abstractNumId w:val="26"/>
  </w:num>
  <w:num w:numId="13" w16cid:durableId="956260037">
    <w:abstractNumId w:val="16"/>
  </w:num>
  <w:num w:numId="14" w16cid:durableId="181672821">
    <w:abstractNumId w:val="28"/>
  </w:num>
  <w:num w:numId="15" w16cid:durableId="1232275381">
    <w:abstractNumId w:val="14"/>
  </w:num>
  <w:num w:numId="16" w16cid:durableId="632060140">
    <w:abstractNumId w:val="17"/>
  </w:num>
  <w:num w:numId="17" w16cid:durableId="967901621">
    <w:abstractNumId w:val="21"/>
  </w:num>
  <w:num w:numId="18" w16cid:durableId="599148442">
    <w:abstractNumId w:val="27"/>
  </w:num>
  <w:num w:numId="19" w16cid:durableId="47917877">
    <w:abstractNumId w:val="12"/>
  </w:num>
  <w:num w:numId="20" w16cid:durableId="1412509837">
    <w:abstractNumId w:val="11"/>
  </w:num>
  <w:num w:numId="21" w16cid:durableId="955940721">
    <w:abstractNumId w:val="25"/>
  </w:num>
  <w:num w:numId="22" w16cid:durableId="1667201914">
    <w:abstractNumId w:val="19"/>
  </w:num>
  <w:num w:numId="23" w16cid:durableId="784620010">
    <w:abstractNumId w:val="22"/>
  </w:num>
  <w:num w:numId="24" w16cid:durableId="602299493">
    <w:abstractNumId w:val="10"/>
  </w:num>
  <w:num w:numId="25" w16cid:durableId="1868565554">
    <w:abstractNumId w:val="18"/>
  </w:num>
  <w:num w:numId="26" w16cid:durableId="160780100">
    <w:abstractNumId w:val="23"/>
  </w:num>
  <w:num w:numId="27" w16cid:durableId="294065482">
    <w:abstractNumId w:val="15"/>
  </w:num>
  <w:num w:numId="28" w16cid:durableId="1016035203">
    <w:abstractNumId w:val="20"/>
  </w:num>
  <w:num w:numId="29" w16cid:durableId="11774213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9A"/>
    <w:rsid w:val="00000DA6"/>
    <w:rsid w:val="000163DE"/>
    <w:rsid w:val="000179C5"/>
    <w:rsid w:val="00021AFE"/>
    <w:rsid w:val="00030A54"/>
    <w:rsid w:val="000356B4"/>
    <w:rsid w:val="000409B2"/>
    <w:rsid w:val="00052C7C"/>
    <w:rsid w:val="000552F5"/>
    <w:rsid w:val="00062CDB"/>
    <w:rsid w:val="00065CE6"/>
    <w:rsid w:val="00080B28"/>
    <w:rsid w:val="000854C0"/>
    <w:rsid w:val="00086BC1"/>
    <w:rsid w:val="000A53F7"/>
    <w:rsid w:val="000A5DF3"/>
    <w:rsid w:val="000A716B"/>
    <w:rsid w:val="000B292C"/>
    <w:rsid w:val="000B2C76"/>
    <w:rsid w:val="000C0CC1"/>
    <w:rsid w:val="000C352D"/>
    <w:rsid w:val="000E2174"/>
    <w:rsid w:val="000E4738"/>
    <w:rsid w:val="000F1E98"/>
    <w:rsid w:val="00103743"/>
    <w:rsid w:val="001038A3"/>
    <w:rsid w:val="00115857"/>
    <w:rsid w:val="00120200"/>
    <w:rsid w:val="00123954"/>
    <w:rsid w:val="00156CFC"/>
    <w:rsid w:val="0016455A"/>
    <w:rsid w:val="00164AC0"/>
    <w:rsid w:val="00165493"/>
    <w:rsid w:val="001A3C48"/>
    <w:rsid w:val="001D29FC"/>
    <w:rsid w:val="001D43AB"/>
    <w:rsid w:val="001E388D"/>
    <w:rsid w:val="001E42E8"/>
    <w:rsid w:val="001E5E44"/>
    <w:rsid w:val="001F675B"/>
    <w:rsid w:val="0020267D"/>
    <w:rsid w:val="0021114A"/>
    <w:rsid w:val="00211BEE"/>
    <w:rsid w:val="00213358"/>
    <w:rsid w:val="00232CA9"/>
    <w:rsid w:val="00235707"/>
    <w:rsid w:val="002441C9"/>
    <w:rsid w:val="0026302B"/>
    <w:rsid w:val="002710FB"/>
    <w:rsid w:val="002757ED"/>
    <w:rsid w:val="002A3E42"/>
    <w:rsid w:val="002B3CBE"/>
    <w:rsid w:val="002B43B1"/>
    <w:rsid w:val="002B531E"/>
    <w:rsid w:val="002C1C5F"/>
    <w:rsid w:val="002D6724"/>
    <w:rsid w:val="002E2B92"/>
    <w:rsid w:val="002F1D0C"/>
    <w:rsid w:val="002F5B16"/>
    <w:rsid w:val="003066FF"/>
    <w:rsid w:val="00331AB6"/>
    <w:rsid w:val="00332AD8"/>
    <w:rsid w:val="0033638D"/>
    <w:rsid w:val="00350A68"/>
    <w:rsid w:val="00355740"/>
    <w:rsid w:val="0036074C"/>
    <w:rsid w:val="00360C7E"/>
    <w:rsid w:val="00361B0F"/>
    <w:rsid w:val="00364720"/>
    <w:rsid w:val="00373A07"/>
    <w:rsid w:val="00384130"/>
    <w:rsid w:val="003847D3"/>
    <w:rsid w:val="00384C72"/>
    <w:rsid w:val="003868C5"/>
    <w:rsid w:val="0039071C"/>
    <w:rsid w:val="00392A75"/>
    <w:rsid w:val="003B0DB6"/>
    <w:rsid w:val="003B3220"/>
    <w:rsid w:val="003B3BA3"/>
    <w:rsid w:val="003C000B"/>
    <w:rsid w:val="003C10F8"/>
    <w:rsid w:val="003C5C9A"/>
    <w:rsid w:val="003E096F"/>
    <w:rsid w:val="003E604E"/>
    <w:rsid w:val="004009A4"/>
    <w:rsid w:val="00401E00"/>
    <w:rsid w:val="00401E64"/>
    <w:rsid w:val="00404B07"/>
    <w:rsid w:val="00406C1F"/>
    <w:rsid w:val="004128A1"/>
    <w:rsid w:val="00423609"/>
    <w:rsid w:val="00430F44"/>
    <w:rsid w:val="00431123"/>
    <w:rsid w:val="004315B1"/>
    <w:rsid w:val="004356CC"/>
    <w:rsid w:val="00436F94"/>
    <w:rsid w:val="004377B1"/>
    <w:rsid w:val="00447208"/>
    <w:rsid w:val="004578E9"/>
    <w:rsid w:val="00463A01"/>
    <w:rsid w:val="00470173"/>
    <w:rsid w:val="00480272"/>
    <w:rsid w:val="00494407"/>
    <w:rsid w:val="004A3477"/>
    <w:rsid w:val="004A45D7"/>
    <w:rsid w:val="004C2DCB"/>
    <w:rsid w:val="004D339C"/>
    <w:rsid w:val="004D599F"/>
    <w:rsid w:val="004D6E14"/>
    <w:rsid w:val="004E0AEE"/>
    <w:rsid w:val="004F4D10"/>
    <w:rsid w:val="004F5EED"/>
    <w:rsid w:val="004F7EF0"/>
    <w:rsid w:val="00500CA5"/>
    <w:rsid w:val="0051305F"/>
    <w:rsid w:val="005172EA"/>
    <w:rsid w:val="00525D3D"/>
    <w:rsid w:val="0052729D"/>
    <w:rsid w:val="00534756"/>
    <w:rsid w:val="00536D79"/>
    <w:rsid w:val="0054652A"/>
    <w:rsid w:val="00551DF2"/>
    <w:rsid w:val="005568DF"/>
    <w:rsid w:val="005600EB"/>
    <w:rsid w:val="005602AD"/>
    <w:rsid w:val="005631E9"/>
    <w:rsid w:val="00584DCD"/>
    <w:rsid w:val="00591656"/>
    <w:rsid w:val="00593163"/>
    <w:rsid w:val="00595DD5"/>
    <w:rsid w:val="005A4024"/>
    <w:rsid w:val="005A5BF5"/>
    <w:rsid w:val="005B50A8"/>
    <w:rsid w:val="005C1DC0"/>
    <w:rsid w:val="005C76C8"/>
    <w:rsid w:val="005D4BAF"/>
    <w:rsid w:val="005D5D2D"/>
    <w:rsid w:val="005D7868"/>
    <w:rsid w:val="005E5084"/>
    <w:rsid w:val="005E7F64"/>
    <w:rsid w:val="005F27DC"/>
    <w:rsid w:val="00602226"/>
    <w:rsid w:val="0060634A"/>
    <w:rsid w:val="00612773"/>
    <w:rsid w:val="0061431A"/>
    <w:rsid w:val="0062211A"/>
    <w:rsid w:val="006254EF"/>
    <w:rsid w:val="0062707B"/>
    <w:rsid w:val="00627455"/>
    <w:rsid w:val="00632ECA"/>
    <w:rsid w:val="0063308B"/>
    <w:rsid w:val="00635C5F"/>
    <w:rsid w:val="0063731A"/>
    <w:rsid w:val="00637333"/>
    <w:rsid w:val="00640067"/>
    <w:rsid w:val="00641AEA"/>
    <w:rsid w:val="00653C37"/>
    <w:rsid w:val="00667A43"/>
    <w:rsid w:val="00673ADC"/>
    <w:rsid w:val="00676F72"/>
    <w:rsid w:val="00687040"/>
    <w:rsid w:val="00690B45"/>
    <w:rsid w:val="00691813"/>
    <w:rsid w:val="0069681F"/>
    <w:rsid w:val="006A5A9C"/>
    <w:rsid w:val="006D00E7"/>
    <w:rsid w:val="006D4CBD"/>
    <w:rsid w:val="006D7F18"/>
    <w:rsid w:val="006E2FC4"/>
    <w:rsid w:val="006E6869"/>
    <w:rsid w:val="006F5092"/>
    <w:rsid w:val="00707F65"/>
    <w:rsid w:val="007110F7"/>
    <w:rsid w:val="00716AD6"/>
    <w:rsid w:val="007204AC"/>
    <w:rsid w:val="007239F1"/>
    <w:rsid w:val="00742AFC"/>
    <w:rsid w:val="007537AF"/>
    <w:rsid w:val="007538A6"/>
    <w:rsid w:val="00764101"/>
    <w:rsid w:val="00772991"/>
    <w:rsid w:val="00776372"/>
    <w:rsid w:val="00777CD2"/>
    <w:rsid w:val="007928E5"/>
    <w:rsid w:val="00794CFC"/>
    <w:rsid w:val="00795D53"/>
    <w:rsid w:val="007974C1"/>
    <w:rsid w:val="007A72CC"/>
    <w:rsid w:val="007A75F1"/>
    <w:rsid w:val="007C0C9A"/>
    <w:rsid w:val="007C66EB"/>
    <w:rsid w:val="007D0C44"/>
    <w:rsid w:val="007D74D4"/>
    <w:rsid w:val="007E3254"/>
    <w:rsid w:val="007F2F58"/>
    <w:rsid w:val="0080574F"/>
    <w:rsid w:val="00807EB9"/>
    <w:rsid w:val="008133A1"/>
    <w:rsid w:val="0081798C"/>
    <w:rsid w:val="008226F8"/>
    <w:rsid w:val="00826A8D"/>
    <w:rsid w:val="00827AE3"/>
    <w:rsid w:val="008363D5"/>
    <w:rsid w:val="00837481"/>
    <w:rsid w:val="00840D8C"/>
    <w:rsid w:val="00842F04"/>
    <w:rsid w:val="00851603"/>
    <w:rsid w:val="00860EC0"/>
    <w:rsid w:val="00865DB1"/>
    <w:rsid w:val="00882670"/>
    <w:rsid w:val="008938C9"/>
    <w:rsid w:val="0089613C"/>
    <w:rsid w:val="008A1263"/>
    <w:rsid w:val="008A27E9"/>
    <w:rsid w:val="008A51CE"/>
    <w:rsid w:val="008B0819"/>
    <w:rsid w:val="008B0A3F"/>
    <w:rsid w:val="008B4B48"/>
    <w:rsid w:val="008F3C6D"/>
    <w:rsid w:val="0090107D"/>
    <w:rsid w:val="00926430"/>
    <w:rsid w:val="00936DA1"/>
    <w:rsid w:val="00942884"/>
    <w:rsid w:val="00942DFB"/>
    <w:rsid w:val="00954D17"/>
    <w:rsid w:val="0095599F"/>
    <w:rsid w:val="0096467B"/>
    <w:rsid w:val="00966A95"/>
    <w:rsid w:val="009765CC"/>
    <w:rsid w:val="009810E6"/>
    <w:rsid w:val="00983C03"/>
    <w:rsid w:val="009863D6"/>
    <w:rsid w:val="00991317"/>
    <w:rsid w:val="0099698A"/>
    <w:rsid w:val="009B2A7F"/>
    <w:rsid w:val="009E50ED"/>
    <w:rsid w:val="009F0746"/>
    <w:rsid w:val="009F5A96"/>
    <w:rsid w:val="00A06D5B"/>
    <w:rsid w:val="00A14078"/>
    <w:rsid w:val="00A140DB"/>
    <w:rsid w:val="00A150BA"/>
    <w:rsid w:val="00A25941"/>
    <w:rsid w:val="00A3348F"/>
    <w:rsid w:val="00A34083"/>
    <w:rsid w:val="00A414E4"/>
    <w:rsid w:val="00A567C0"/>
    <w:rsid w:val="00A8625A"/>
    <w:rsid w:val="00A902FD"/>
    <w:rsid w:val="00A93A83"/>
    <w:rsid w:val="00A94A6A"/>
    <w:rsid w:val="00A9742C"/>
    <w:rsid w:val="00AA776F"/>
    <w:rsid w:val="00AB0F3F"/>
    <w:rsid w:val="00AC4757"/>
    <w:rsid w:val="00AD155D"/>
    <w:rsid w:val="00AD28C9"/>
    <w:rsid w:val="00AE5E34"/>
    <w:rsid w:val="00AE6CA3"/>
    <w:rsid w:val="00AF05DB"/>
    <w:rsid w:val="00AF1BCC"/>
    <w:rsid w:val="00AF65F9"/>
    <w:rsid w:val="00B0424C"/>
    <w:rsid w:val="00B0591D"/>
    <w:rsid w:val="00B05928"/>
    <w:rsid w:val="00B06E7D"/>
    <w:rsid w:val="00B07F61"/>
    <w:rsid w:val="00B2187E"/>
    <w:rsid w:val="00B27992"/>
    <w:rsid w:val="00B301CA"/>
    <w:rsid w:val="00B34C87"/>
    <w:rsid w:val="00B34FD1"/>
    <w:rsid w:val="00B4075E"/>
    <w:rsid w:val="00B4095D"/>
    <w:rsid w:val="00B43342"/>
    <w:rsid w:val="00B52135"/>
    <w:rsid w:val="00B65645"/>
    <w:rsid w:val="00B65B32"/>
    <w:rsid w:val="00B715A0"/>
    <w:rsid w:val="00B72033"/>
    <w:rsid w:val="00B723CE"/>
    <w:rsid w:val="00B72487"/>
    <w:rsid w:val="00B74669"/>
    <w:rsid w:val="00B75345"/>
    <w:rsid w:val="00B75928"/>
    <w:rsid w:val="00B957AB"/>
    <w:rsid w:val="00BA00E3"/>
    <w:rsid w:val="00BB1F50"/>
    <w:rsid w:val="00BB4A51"/>
    <w:rsid w:val="00BB6A5E"/>
    <w:rsid w:val="00BC7BE6"/>
    <w:rsid w:val="00BF0A3C"/>
    <w:rsid w:val="00BF2674"/>
    <w:rsid w:val="00C023A2"/>
    <w:rsid w:val="00C07396"/>
    <w:rsid w:val="00C14770"/>
    <w:rsid w:val="00C1711B"/>
    <w:rsid w:val="00C2002F"/>
    <w:rsid w:val="00C37AA4"/>
    <w:rsid w:val="00C410FD"/>
    <w:rsid w:val="00C5227C"/>
    <w:rsid w:val="00C536A1"/>
    <w:rsid w:val="00C554DE"/>
    <w:rsid w:val="00C556AB"/>
    <w:rsid w:val="00C57966"/>
    <w:rsid w:val="00C64623"/>
    <w:rsid w:val="00C73995"/>
    <w:rsid w:val="00C73FC6"/>
    <w:rsid w:val="00C81069"/>
    <w:rsid w:val="00C82CD2"/>
    <w:rsid w:val="00CA6D60"/>
    <w:rsid w:val="00CA6EE9"/>
    <w:rsid w:val="00CC31F4"/>
    <w:rsid w:val="00CC34FB"/>
    <w:rsid w:val="00CC66A9"/>
    <w:rsid w:val="00CE1C78"/>
    <w:rsid w:val="00CF0234"/>
    <w:rsid w:val="00CF09C1"/>
    <w:rsid w:val="00D122AB"/>
    <w:rsid w:val="00D13978"/>
    <w:rsid w:val="00D15FE1"/>
    <w:rsid w:val="00D31B99"/>
    <w:rsid w:val="00D3349E"/>
    <w:rsid w:val="00D33EF3"/>
    <w:rsid w:val="00D356E2"/>
    <w:rsid w:val="00D37433"/>
    <w:rsid w:val="00D431D5"/>
    <w:rsid w:val="00D43671"/>
    <w:rsid w:val="00D4733A"/>
    <w:rsid w:val="00D5423D"/>
    <w:rsid w:val="00D6386E"/>
    <w:rsid w:val="00D6730A"/>
    <w:rsid w:val="00D74062"/>
    <w:rsid w:val="00D777D5"/>
    <w:rsid w:val="00D850ED"/>
    <w:rsid w:val="00D8510D"/>
    <w:rsid w:val="00D97024"/>
    <w:rsid w:val="00DA54A5"/>
    <w:rsid w:val="00DA6207"/>
    <w:rsid w:val="00DB52FD"/>
    <w:rsid w:val="00DC7E34"/>
    <w:rsid w:val="00DD7702"/>
    <w:rsid w:val="00DE692A"/>
    <w:rsid w:val="00DF0561"/>
    <w:rsid w:val="00DF5962"/>
    <w:rsid w:val="00DF621B"/>
    <w:rsid w:val="00E06CF3"/>
    <w:rsid w:val="00E1134C"/>
    <w:rsid w:val="00E13D79"/>
    <w:rsid w:val="00E21BDB"/>
    <w:rsid w:val="00E22F1B"/>
    <w:rsid w:val="00E23940"/>
    <w:rsid w:val="00E46FED"/>
    <w:rsid w:val="00E563BB"/>
    <w:rsid w:val="00E63AA2"/>
    <w:rsid w:val="00E74607"/>
    <w:rsid w:val="00E75E6E"/>
    <w:rsid w:val="00E80191"/>
    <w:rsid w:val="00E8377A"/>
    <w:rsid w:val="00EA6E98"/>
    <w:rsid w:val="00EB178B"/>
    <w:rsid w:val="00EB4EBF"/>
    <w:rsid w:val="00EC59CF"/>
    <w:rsid w:val="00ED0CBB"/>
    <w:rsid w:val="00ED18E1"/>
    <w:rsid w:val="00ED2708"/>
    <w:rsid w:val="00ED3BC4"/>
    <w:rsid w:val="00ED7A68"/>
    <w:rsid w:val="00EE5C7D"/>
    <w:rsid w:val="00EE5CD8"/>
    <w:rsid w:val="00EE5F70"/>
    <w:rsid w:val="00EF003D"/>
    <w:rsid w:val="00EF3E9D"/>
    <w:rsid w:val="00EF67EA"/>
    <w:rsid w:val="00F06481"/>
    <w:rsid w:val="00F21EDD"/>
    <w:rsid w:val="00F25676"/>
    <w:rsid w:val="00F34277"/>
    <w:rsid w:val="00F464D7"/>
    <w:rsid w:val="00F55BCB"/>
    <w:rsid w:val="00F55BD1"/>
    <w:rsid w:val="00F563EF"/>
    <w:rsid w:val="00F600A2"/>
    <w:rsid w:val="00F6320B"/>
    <w:rsid w:val="00F666D7"/>
    <w:rsid w:val="00F70B59"/>
    <w:rsid w:val="00F74899"/>
    <w:rsid w:val="00F76C01"/>
    <w:rsid w:val="00F777AA"/>
    <w:rsid w:val="00F82AF7"/>
    <w:rsid w:val="00F9652D"/>
    <w:rsid w:val="00FA5E83"/>
    <w:rsid w:val="00FB6285"/>
    <w:rsid w:val="00FB6B3F"/>
    <w:rsid w:val="00FC0EAD"/>
    <w:rsid w:val="00FD3703"/>
    <w:rsid w:val="00FF196F"/>
    <w:rsid w:val="0C4CEFB9"/>
    <w:rsid w:val="2347C89A"/>
    <w:rsid w:val="27BCF649"/>
    <w:rsid w:val="28CB34B1"/>
    <w:rsid w:val="35E5F7D4"/>
    <w:rsid w:val="474A710D"/>
    <w:rsid w:val="4D71D80C"/>
    <w:rsid w:val="55AE1B5D"/>
    <w:rsid w:val="5B506734"/>
    <w:rsid w:val="6CC96D01"/>
    <w:rsid w:val="6FBB9159"/>
    <w:rsid w:val="70A64C33"/>
    <w:rsid w:val="710F81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9EEF3A1"/>
  <w15:chartTrackingRefBased/>
  <w15:docId w15:val="{E25E4EFB-DF89-456D-987C-D91CB53F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345"/>
    <w:pPr>
      <w:spacing w:after="0" w:line="26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1E9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1E98"/>
  </w:style>
  <w:style w:type="paragraph" w:styleId="Fuzeile">
    <w:name w:val="footer"/>
    <w:basedOn w:val="Standard"/>
    <w:link w:val="FuzeileZchn"/>
    <w:uiPriority w:val="99"/>
    <w:unhideWhenUsed/>
    <w:rsid w:val="0096467B"/>
    <w:pPr>
      <w:tabs>
        <w:tab w:val="center" w:pos="4536"/>
        <w:tab w:val="right" w:pos="9072"/>
      </w:tabs>
      <w:spacing w:line="180" w:lineRule="atLeast"/>
    </w:pPr>
    <w:rPr>
      <w:sz w:val="13"/>
    </w:rPr>
  </w:style>
  <w:style w:type="character" w:customStyle="1" w:styleId="FuzeileZchn">
    <w:name w:val="Fußzeile Zchn"/>
    <w:basedOn w:val="Absatz-Standardschriftart"/>
    <w:link w:val="Fuzeile"/>
    <w:uiPriority w:val="99"/>
    <w:rsid w:val="0096467B"/>
    <w:rPr>
      <w:sz w:val="13"/>
    </w:rPr>
  </w:style>
  <w:style w:type="table" w:styleId="Tabellenraster">
    <w:name w:val="Table Grid"/>
    <w:basedOn w:val="NormaleTabelle"/>
    <w:uiPriority w:val="59"/>
    <w:rsid w:val="00F9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zeile">
    <w:name w:val="Absenderzeile"/>
    <w:basedOn w:val="Standard"/>
    <w:next w:val="Standard"/>
    <w:rsid w:val="00F9652D"/>
    <w:pPr>
      <w:spacing w:line="180" w:lineRule="atLeast"/>
    </w:pPr>
    <w:rPr>
      <w:spacing w:val="1"/>
      <w:sz w:val="13"/>
    </w:rPr>
  </w:style>
  <w:style w:type="paragraph" w:customStyle="1" w:styleId="Kontaktinfo">
    <w:name w:val="Kontaktinfo"/>
    <w:basedOn w:val="Standard"/>
    <w:qFormat/>
    <w:rsid w:val="00463A01"/>
    <w:pPr>
      <w:spacing w:line="200" w:lineRule="atLeast"/>
    </w:pPr>
    <w:rPr>
      <w:sz w:val="16"/>
    </w:rPr>
  </w:style>
  <w:style w:type="paragraph" w:customStyle="1" w:styleId="KontaktinfoName">
    <w:name w:val="Kontaktinfo Name"/>
    <w:basedOn w:val="Kontaktinfo"/>
    <w:rsid w:val="00FB6285"/>
    <w:pPr>
      <w:spacing w:before="60"/>
    </w:pPr>
    <w:rPr>
      <w:rFonts w:asciiTheme="majorHAnsi" w:hAnsiTheme="majorHAnsi"/>
    </w:rPr>
  </w:style>
  <w:style w:type="paragraph" w:customStyle="1" w:styleId="Betreffzeile">
    <w:name w:val="Betreffzeile"/>
    <w:basedOn w:val="Standard"/>
    <w:next w:val="Standard"/>
    <w:qFormat/>
    <w:rsid w:val="004A3477"/>
    <w:rPr>
      <w:rFonts w:asciiTheme="majorHAnsi" w:hAnsiTheme="majorHAnsi"/>
    </w:rPr>
  </w:style>
  <w:style w:type="paragraph" w:customStyle="1" w:styleId="InterneKodierung">
    <w:name w:val="Interne Kodierung"/>
    <w:basedOn w:val="Fuzeile"/>
    <w:rsid w:val="00E75E6E"/>
    <w:pPr>
      <w:spacing w:line="140" w:lineRule="atLeast"/>
    </w:pPr>
    <w:rPr>
      <w:color w:val="000000" w:themeColor="text1"/>
      <w:sz w:val="11"/>
    </w:rPr>
  </w:style>
  <w:style w:type="paragraph" w:styleId="Datum">
    <w:name w:val="Date"/>
    <w:basedOn w:val="Standard"/>
    <w:next w:val="Standard"/>
    <w:link w:val="DatumZchn"/>
    <w:uiPriority w:val="99"/>
    <w:unhideWhenUsed/>
    <w:rsid w:val="0039071C"/>
    <w:pPr>
      <w:spacing w:line="200" w:lineRule="atLeast"/>
    </w:pPr>
    <w:rPr>
      <w:sz w:val="16"/>
    </w:rPr>
  </w:style>
  <w:style w:type="character" w:customStyle="1" w:styleId="DatumZchn">
    <w:name w:val="Datum Zchn"/>
    <w:basedOn w:val="Absatz-Standardschriftart"/>
    <w:link w:val="Datum"/>
    <w:uiPriority w:val="99"/>
    <w:rsid w:val="0039071C"/>
    <w:rPr>
      <w:sz w:val="16"/>
    </w:rPr>
  </w:style>
  <w:style w:type="character" w:styleId="Seitenzahl">
    <w:name w:val="page number"/>
    <w:basedOn w:val="Absatz-Standardschriftart"/>
    <w:uiPriority w:val="99"/>
    <w:unhideWhenUsed/>
    <w:rsid w:val="00E75E6E"/>
    <w:rPr>
      <w:rFonts w:asciiTheme="minorHAnsi" w:hAnsiTheme="minorHAnsi"/>
      <w:color w:val="000000" w:themeColor="text1"/>
      <w:sz w:val="13"/>
    </w:rPr>
  </w:style>
  <w:style w:type="paragraph" w:customStyle="1" w:styleId="AngabenzweiteSeite">
    <w:name w:val="Angaben zweite Seite"/>
    <w:basedOn w:val="Standard"/>
    <w:rsid w:val="00E75E6E"/>
    <w:pPr>
      <w:spacing w:line="180" w:lineRule="atLeast"/>
    </w:pPr>
    <w:rPr>
      <w:sz w:val="13"/>
    </w:rPr>
  </w:style>
  <w:style w:type="paragraph" w:styleId="Titel">
    <w:name w:val="Title"/>
    <w:basedOn w:val="Standard"/>
    <w:next w:val="Standard"/>
    <w:link w:val="TitelZchn"/>
    <w:uiPriority w:val="10"/>
    <w:qFormat/>
    <w:rsid w:val="0036074C"/>
    <w:pPr>
      <w:contextualSpacing/>
    </w:pPr>
    <w:rPr>
      <w:rFonts w:asciiTheme="majorHAnsi" w:eastAsiaTheme="majorEastAsia" w:hAnsiTheme="majorHAnsi" w:cstheme="majorBidi"/>
      <w:caps/>
      <w:color w:val="000000" w:themeColor="text1"/>
      <w:spacing w:val="2"/>
      <w:kern w:val="28"/>
      <w:sz w:val="24"/>
      <w:szCs w:val="56"/>
    </w:rPr>
  </w:style>
  <w:style w:type="character" w:customStyle="1" w:styleId="TitelZchn">
    <w:name w:val="Titel Zchn"/>
    <w:basedOn w:val="Absatz-Standardschriftart"/>
    <w:link w:val="Titel"/>
    <w:uiPriority w:val="10"/>
    <w:rsid w:val="0036074C"/>
    <w:rPr>
      <w:rFonts w:asciiTheme="majorHAnsi" w:eastAsiaTheme="majorEastAsia" w:hAnsiTheme="majorHAnsi" w:cstheme="majorBidi"/>
      <w:caps/>
      <w:color w:val="000000" w:themeColor="text1"/>
      <w:spacing w:val="2"/>
      <w:kern w:val="28"/>
      <w:sz w:val="24"/>
      <w:szCs w:val="56"/>
    </w:rPr>
  </w:style>
  <w:style w:type="paragraph" w:customStyle="1" w:styleId="Textklein">
    <w:name w:val="Text klein"/>
    <w:basedOn w:val="Standard"/>
    <w:qFormat/>
    <w:rsid w:val="000B292C"/>
    <w:pPr>
      <w:spacing w:line="200" w:lineRule="atLeast"/>
    </w:pPr>
    <w:rPr>
      <w:sz w:val="13"/>
    </w:rPr>
  </w:style>
  <w:style w:type="paragraph" w:customStyle="1" w:styleId="Bildunterschrift">
    <w:name w:val="Bildunterschrift"/>
    <w:basedOn w:val="Standard"/>
    <w:next w:val="Standard"/>
    <w:qFormat/>
    <w:rsid w:val="00D4733A"/>
    <w:rPr>
      <w:sz w:val="16"/>
    </w:rPr>
  </w:style>
  <w:style w:type="paragraph" w:customStyle="1" w:styleId="StandardBold">
    <w:name w:val="Standard Bold"/>
    <w:basedOn w:val="Standard"/>
    <w:next w:val="Standard"/>
    <w:qFormat/>
    <w:rsid w:val="00D4733A"/>
    <w:rPr>
      <w:rFonts w:asciiTheme="majorHAnsi" w:hAnsiTheme="majorHAnsi"/>
    </w:rPr>
  </w:style>
  <w:style w:type="paragraph" w:styleId="Listenabsatz">
    <w:name w:val="List Paragraph"/>
    <w:basedOn w:val="Standard"/>
    <w:uiPriority w:val="34"/>
    <w:rsid w:val="00632ECA"/>
    <w:pPr>
      <w:ind w:left="720"/>
      <w:contextualSpacing/>
    </w:pPr>
  </w:style>
  <w:style w:type="character" w:styleId="Hyperlink">
    <w:name w:val="Hyperlink"/>
    <w:basedOn w:val="Absatz-Standardschriftart"/>
    <w:uiPriority w:val="99"/>
    <w:unhideWhenUsed/>
    <w:rsid w:val="003C000B"/>
    <w:rPr>
      <w:color w:val="0000FF"/>
      <w:u w:val="single"/>
    </w:rPr>
  </w:style>
  <w:style w:type="paragraph" w:styleId="Sprechblasentext">
    <w:name w:val="Balloon Text"/>
    <w:basedOn w:val="Standard"/>
    <w:link w:val="SprechblasentextZchn"/>
    <w:uiPriority w:val="99"/>
    <w:semiHidden/>
    <w:unhideWhenUsed/>
    <w:rsid w:val="005E7F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F64"/>
    <w:rPr>
      <w:rFonts w:ascii="Segoe UI" w:hAnsi="Segoe UI" w:cs="Segoe UI"/>
      <w:sz w:val="18"/>
      <w:szCs w:val="18"/>
    </w:rPr>
  </w:style>
  <w:style w:type="character" w:styleId="BesuchterLink">
    <w:name w:val="FollowedHyperlink"/>
    <w:basedOn w:val="Absatz-Standardschriftart"/>
    <w:uiPriority w:val="99"/>
    <w:semiHidden/>
    <w:unhideWhenUsed/>
    <w:rsid w:val="00A140DB"/>
    <w:rPr>
      <w:color w:val="800080" w:themeColor="followedHyperlink"/>
      <w:u w:val="single"/>
    </w:rPr>
  </w:style>
  <w:style w:type="character" w:styleId="NichtaufgelsteErwhnung">
    <w:name w:val="Unresolved Mention"/>
    <w:basedOn w:val="Absatz-Standardschriftart"/>
    <w:uiPriority w:val="99"/>
    <w:semiHidden/>
    <w:unhideWhenUsed/>
    <w:rsid w:val="00667A43"/>
    <w:rPr>
      <w:color w:val="605E5C"/>
      <w:shd w:val="clear" w:color="auto" w:fill="E1DFDD"/>
    </w:rPr>
  </w:style>
  <w:style w:type="paragraph" w:styleId="berarbeitung">
    <w:name w:val="Revision"/>
    <w:hidden/>
    <w:uiPriority w:val="99"/>
    <w:semiHidden/>
    <w:rsid w:val="006D00E7"/>
    <w:pPr>
      <w:spacing w:after="0" w:line="240" w:lineRule="auto"/>
    </w:pPr>
    <w:rPr>
      <w:sz w:val="20"/>
    </w:rPr>
  </w:style>
  <w:style w:type="character" w:styleId="Kommentarzeichen">
    <w:name w:val="annotation reference"/>
    <w:basedOn w:val="Absatz-Standardschriftart"/>
    <w:uiPriority w:val="99"/>
    <w:semiHidden/>
    <w:unhideWhenUsed/>
    <w:rsid w:val="0020267D"/>
    <w:rPr>
      <w:sz w:val="16"/>
      <w:szCs w:val="16"/>
    </w:rPr>
  </w:style>
  <w:style w:type="paragraph" w:styleId="Kommentartext">
    <w:name w:val="annotation text"/>
    <w:basedOn w:val="Standard"/>
    <w:link w:val="KommentartextZchn"/>
    <w:uiPriority w:val="99"/>
    <w:unhideWhenUsed/>
    <w:rsid w:val="0020267D"/>
    <w:pPr>
      <w:spacing w:line="240" w:lineRule="auto"/>
    </w:pPr>
    <w:rPr>
      <w:szCs w:val="20"/>
    </w:rPr>
  </w:style>
  <w:style w:type="character" w:customStyle="1" w:styleId="KommentartextZchn">
    <w:name w:val="Kommentartext Zchn"/>
    <w:basedOn w:val="Absatz-Standardschriftart"/>
    <w:link w:val="Kommentartext"/>
    <w:uiPriority w:val="99"/>
    <w:rsid w:val="0020267D"/>
    <w:rPr>
      <w:sz w:val="20"/>
      <w:szCs w:val="20"/>
    </w:rPr>
  </w:style>
  <w:style w:type="paragraph" w:styleId="Kommentarthema">
    <w:name w:val="annotation subject"/>
    <w:basedOn w:val="Kommentartext"/>
    <w:next w:val="Kommentartext"/>
    <w:link w:val="KommentarthemaZchn"/>
    <w:uiPriority w:val="99"/>
    <w:semiHidden/>
    <w:unhideWhenUsed/>
    <w:rsid w:val="0020267D"/>
    <w:rPr>
      <w:b/>
      <w:bCs/>
    </w:rPr>
  </w:style>
  <w:style w:type="character" w:customStyle="1" w:styleId="KommentarthemaZchn">
    <w:name w:val="Kommentarthema Zchn"/>
    <w:basedOn w:val="KommentartextZchn"/>
    <w:link w:val="Kommentarthema"/>
    <w:uiPriority w:val="99"/>
    <w:semiHidden/>
    <w:rsid w:val="002026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6390">
      <w:bodyDiv w:val="1"/>
      <w:marLeft w:val="0"/>
      <w:marRight w:val="0"/>
      <w:marTop w:val="0"/>
      <w:marBottom w:val="0"/>
      <w:divBdr>
        <w:top w:val="none" w:sz="0" w:space="0" w:color="auto"/>
        <w:left w:val="none" w:sz="0" w:space="0" w:color="auto"/>
        <w:bottom w:val="none" w:sz="0" w:space="0" w:color="auto"/>
        <w:right w:val="none" w:sz="0" w:space="0" w:color="auto"/>
      </w:divBdr>
    </w:div>
    <w:div w:id="5374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f.com/global/en/media/news-releases/2023/12/p-23-384.html" TargetMode="External"/><Relationship Id="rId18" Type="http://schemas.openxmlformats.org/officeDocument/2006/relationships/hyperlink" Target="https://www.youtube.com/c/wintershallde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ntershalldea.com/en/what-we-believe/sustainability/2022-sustainability-report" TargetMode="External"/><Relationship Id="rId17" Type="http://schemas.openxmlformats.org/officeDocument/2006/relationships/hyperlink" Target="https://www.linkedin.com/company/wintershallde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acebook.com/wintershallde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ntershalldea.com/en/annual-report-202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wintershallde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wintershalld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ntershalldea.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intershall dea">
      <a:dk1>
        <a:sysClr val="windowText" lastClr="000000"/>
      </a:dk1>
      <a:lt1>
        <a:sysClr val="window" lastClr="FFFFFF"/>
      </a:lt1>
      <a:dk2>
        <a:srgbClr val="1F497D"/>
      </a:dk2>
      <a:lt2>
        <a:srgbClr val="EEECE1"/>
      </a:lt2>
      <a:accent1>
        <a:srgbClr val="11235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ntershall Dea neu">
      <a:majorFont>
        <a:latin typeface="WintershallDea Office"/>
        <a:ea typeface=""/>
        <a:cs typeface=""/>
      </a:majorFont>
      <a:minorFont>
        <a:latin typeface="WintershallDea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5740c7-910d-400d-9a62-8c8add506961" xsi:nil="true"/>
    <lcf76f155ced4ddcb4097134ff3c332f xmlns="1cbf40a0-7bb9-473a-b236-6aa3dd0b00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0085807CAC6E41B5E7C337100A9A32" ma:contentTypeVersion="18" ma:contentTypeDescription="Ein neues Dokument erstellen." ma:contentTypeScope="" ma:versionID="453c7775978311c5e8610a6b60ac22f7">
  <xsd:schema xmlns:xsd="http://www.w3.org/2001/XMLSchema" xmlns:xs="http://www.w3.org/2001/XMLSchema" xmlns:p="http://schemas.microsoft.com/office/2006/metadata/properties" xmlns:ns2="1cbf40a0-7bb9-473a-b236-6aa3dd0b0026" xmlns:ns3="e85740c7-910d-400d-9a62-8c8add506961" targetNamespace="http://schemas.microsoft.com/office/2006/metadata/properties" ma:root="true" ma:fieldsID="43cc1efc64f15063bbc5bb28db83e05b" ns2:_="" ns3:_="">
    <xsd:import namespace="1cbf40a0-7bb9-473a-b236-6aa3dd0b0026"/>
    <xsd:import namespace="e85740c7-910d-400d-9a62-8c8add506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f40a0-7bb9-473a-b236-6aa3dd0b0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e91c971-8afb-4e60-b188-d00d3cc2f9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5740c7-910d-400d-9a62-8c8add50696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3ffd633-e511-40f5-8222-3c50f9c43b2a}" ma:internalName="TaxCatchAll" ma:showField="CatchAllData" ma:web="e85740c7-910d-400d-9a62-8c8add506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697F7-3EAC-4B0F-B37B-832E01B0275B}">
  <ds:schemaRefs>
    <ds:schemaRef ds:uri="http://schemas.microsoft.com/office/2006/metadata/properties"/>
    <ds:schemaRef ds:uri="http://schemas.microsoft.com/office/infopath/2007/PartnerControls"/>
    <ds:schemaRef ds:uri="e85740c7-910d-400d-9a62-8c8add506961"/>
    <ds:schemaRef ds:uri="1cbf40a0-7bb9-473a-b236-6aa3dd0b0026"/>
  </ds:schemaRefs>
</ds:datastoreItem>
</file>

<file path=customXml/itemProps2.xml><?xml version="1.0" encoding="utf-8"?>
<ds:datastoreItem xmlns:ds="http://schemas.openxmlformats.org/officeDocument/2006/customXml" ds:itemID="{9690827B-88B9-452A-BF72-A82646D37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f40a0-7bb9-473a-b236-6aa3dd0b0026"/>
    <ds:schemaRef ds:uri="e85740c7-910d-400d-9a62-8c8add50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92634-70D3-4D38-80EA-A807CBFBC8D4}">
  <ds:schemaRefs>
    <ds:schemaRef ds:uri="http://schemas.openxmlformats.org/officeDocument/2006/bibliography"/>
  </ds:schemaRefs>
</ds:datastoreItem>
</file>

<file path=customXml/itemProps4.xml><?xml version="1.0" encoding="utf-8"?>
<ds:datastoreItem xmlns:ds="http://schemas.openxmlformats.org/officeDocument/2006/customXml" ds:itemID="{A9A8343F-DF74-48B7-8007-A7EE6B8BCDFC}">
  <ds:schemaRefs>
    <ds:schemaRef ds:uri="http://schemas.microsoft.com/sharepoint/v3/contenttype/forms"/>
  </ds:schemaRefs>
</ds:datastoreItem>
</file>

<file path=docMetadata/LabelInfo.xml><?xml version="1.0" encoding="utf-8"?>
<clbl:labelList xmlns:clbl="http://schemas.microsoft.com/office/2020/mipLabelMetadata">
  <clbl:label id="{77b89f9e-cf5c-4c4c-af28-7a4de6f60b90}" enabled="0" method="" siteId="{77b89f9e-cf5c-4c4c-af28-7a4de6f60b9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Wintershall Dea GmbH</Company>
  <LinksUpToDate>false</LinksUpToDate>
  <CharactersWithSpaces>5677</CharactersWithSpaces>
  <SharedDoc>false</SharedDoc>
  <HLinks>
    <vt:vector size="54" baseType="variant">
      <vt:variant>
        <vt:i4>5505101</vt:i4>
      </vt:variant>
      <vt:variant>
        <vt:i4>27</vt:i4>
      </vt:variant>
      <vt:variant>
        <vt:i4>0</vt:i4>
      </vt:variant>
      <vt:variant>
        <vt:i4>5</vt:i4>
      </vt:variant>
      <vt:variant>
        <vt:lpwstr>https://www.instagram.com/wintershalldea/</vt:lpwstr>
      </vt:variant>
      <vt:variant>
        <vt:lpwstr/>
      </vt:variant>
      <vt:variant>
        <vt:i4>1966166</vt:i4>
      </vt:variant>
      <vt:variant>
        <vt:i4>24</vt:i4>
      </vt:variant>
      <vt:variant>
        <vt:i4>0</vt:i4>
      </vt:variant>
      <vt:variant>
        <vt:i4>5</vt:i4>
      </vt:variant>
      <vt:variant>
        <vt:lpwstr>https://www.youtube.com/c/wintershalldea</vt:lpwstr>
      </vt:variant>
      <vt:variant>
        <vt:lpwstr/>
      </vt:variant>
      <vt:variant>
        <vt:i4>1048592</vt:i4>
      </vt:variant>
      <vt:variant>
        <vt:i4>21</vt:i4>
      </vt:variant>
      <vt:variant>
        <vt:i4>0</vt:i4>
      </vt:variant>
      <vt:variant>
        <vt:i4>5</vt:i4>
      </vt:variant>
      <vt:variant>
        <vt:lpwstr>https://www.linkedin.com/company/wintershalldea/</vt:lpwstr>
      </vt:variant>
      <vt:variant>
        <vt:lpwstr/>
      </vt:variant>
      <vt:variant>
        <vt:i4>7864361</vt:i4>
      </vt:variant>
      <vt:variant>
        <vt:i4>18</vt:i4>
      </vt:variant>
      <vt:variant>
        <vt:i4>0</vt:i4>
      </vt:variant>
      <vt:variant>
        <vt:i4>5</vt:i4>
      </vt:variant>
      <vt:variant>
        <vt:lpwstr>https://facebook.com/wintershalldea</vt:lpwstr>
      </vt:variant>
      <vt:variant>
        <vt:lpwstr/>
      </vt:variant>
      <vt:variant>
        <vt:i4>7798834</vt:i4>
      </vt:variant>
      <vt:variant>
        <vt:i4>15</vt:i4>
      </vt:variant>
      <vt:variant>
        <vt:i4>0</vt:i4>
      </vt:variant>
      <vt:variant>
        <vt:i4>5</vt:i4>
      </vt:variant>
      <vt:variant>
        <vt:lpwstr>https://twitter.com/wintershalldea</vt:lpwstr>
      </vt:variant>
      <vt:variant>
        <vt:lpwstr/>
      </vt:variant>
      <vt:variant>
        <vt:i4>2228272</vt:i4>
      </vt:variant>
      <vt:variant>
        <vt:i4>12</vt:i4>
      </vt:variant>
      <vt:variant>
        <vt:i4>0</vt:i4>
      </vt:variant>
      <vt:variant>
        <vt:i4>5</vt:i4>
      </vt:variant>
      <vt:variant>
        <vt:lpwstr>http://www.wintershalldea.com/</vt:lpwstr>
      </vt:variant>
      <vt:variant>
        <vt:lpwstr/>
      </vt:variant>
      <vt:variant>
        <vt:i4>4784150</vt:i4>
      </vt:variant>
      <vt:variant>
        <vt:i4>9</vt:i4>
      </vt:variant>
      <vt:variant>
        <vt:i4>0</vt:i4>
      </vt:variant>
      <vt:variant>
        <vt:i4>5</vt:i4>
      </vt:variant>
      <vt:variant>
        <vt:lpwstr>https://www.basf.com/global/en/media/news-releases/2023/12/p-23-384.html</vt:lpwstr>
      </vt:variant>
      <vt:variant>
        <vt:lpwstr/>
      </vt:variant>
      <vt:variant>
        <vt:i4>7667837</vt:i4>
      </vt:variant>
      <vt:variant>
        <vt:i4>6</vt:i4>
      </vt:variant>
      <vt:variant>
        <vt:i4>0</vt:i4>
      </vt:variant>
      <vt:variant>
        <vt:i4>5</vt:i4>
      </vt:variant>
      <vt:variant>
        <vt:lpwstr>https://wintershalldea.com/en/what-we-believe/sustainability/2022-sustainability-report</vt:lpwstr>
      </vt:variant>
      <vt:variant>
        <vt:lpwstr/>
      </vt:variant>
      <vt:variant>
        <vt:i4>1245210</vt:i4>
      </vt:variant>
      <vt:variant>
        <vt:i4>3</vt:i4>
      </vt:variant>
      <vt:variant>
        <vt:i4>0</vt:i4>
      </vt:variant>
      <vt:variant>
        <vt:i4>5</vt:i4>
      </vt:variant>
      <vt:variant>
        <vt:lpwstr>https://wintershalldea.com/en/annual-report-2022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Irene Oesterle</dc:creator>
  <cp:keywords/>
  <dc:description/>
  <cp:lastModifiedBy>Maximilian Zindel</cp:lastModifiedBy>
  <cp:revision>2</cp:revision>
  <cp:lastPrinted>2019-04-30T01:15:00Z</cp:lastPrinted>
  <dcterms:created xsi:type="dcterms:W3CDTF">2024-02-01T10:02:00Z</dcterms:created>
  <dcterms:modified xsi:type="dcterms:W3CDTF">2024-02-01T10:02:00Z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0x010100A40085807CAC6E41B5E7C337100A9A32</vt:lpwstr>
  </property>
  <property fmtid="{D5CDD505-2E9C-101B-9397-08002B2CF9AE}" pid="4" name="MediaServiceImageTags">
    <vt:lpwstr/>
  </property>
</Properties>
</file>