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5" Type="http://schemas.microsoft.com/office/2020/02/relationships/classificationlabels" Target="docMetadata/LabelInfo.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D737F" w14:textId="278C7F8B" w:rsidR="00F351C9" w:rsidRPr="00767FC8" w:rsidRDefault="00767FC8" w:rsidP="00767FC8">
      <w:pPr>
        <w:pStyle w:val="Heading1"/>
      </w:pPr>
      <w:r w:rsidRPr="00767FC8">
        <w:t xml:space="preserve">Shell, Partners to </w:t>
      </w:r>
      <w:r w:rsidR="00536A50">
        <w:t>Develop</w:t>
      </w:r>
      <w:r w:rsidR="00837470">
        <w:t xml:space="preserve"> </w:t>
      </w:r>
      <w:r w:rsidRPr="00767FC8">
        <w:t xml:space="preserve">Phase </w:t>
      </w:r>
      <w:r w:rsidR="001D48CB">
        <w:t>10</w:t>
      </w:r>
      <w:r w:rsidR="00DB3AF1">
        <w:t xml:space="preserve"> </w:t>
      </w:r>
      <w:r w:rsidRPr="00767FC8">
        <w:t>in Egypt’s W</w:t>
      </w:r>
      <w:r w:rsidR="00153E44">
        <w:t xml:space="preserve">est </w:t>
      </w:r>
      <w:r w:rsidRPr="00767FC8">
        <w:t>D</w:t>
      </w:r>
      <w:r w:rsidR="00153E44">
        <w:t xml:space="preserve">elta </w:t>
      </w:r>
      <w:r w:rsidRPr="00767FC8">
        <w:t>D</w:t>
      </w:r>
      <w:r w:rsidR="00153E44">
        <w:t xml:space="preserve">eep </w:t>
      </w:r>
      <w:r w:rsidRPr="00767FC8">
        <w:t>M</w:t>
      </w:r>
      <w:r w:rsidR="00153E44">
        <w:t>arine (WDDM)</w:t>
      </w:r>
      <w:r w:rsidR="00E75D3C">
        <w:t xml:space="preserve"> Concession</w:t>
      </w:r>
    </w:p>
    <w:p w14:paraId="317AF73E" w14:textId="4CE8274C" w:rsidR="00CB69CD" w:rsidRPr="00767FC8" w:rsidRDefault="00837470" w:rsidP="00767FC8">
      <w:pPr>
        <w:pStyle w:val="Bulletedlist"/>
        <w:jc w:val="both"/>
      </w:pPr>
      <w:r>
        <w:rPr>
          <w:lang w:val="en-GB"/>
        </w:rPr>
        <w:t>Development of tenth phase of WDDM concession</w:t>
      </w:r>
      <w:r w:rsidR="00767FC8" w:rsidRPr="00767FC8">
        <w:rPr>
          <w:lang w:val="en-GB"/>
        </w:rPr>
        <w:t xml:space="preserve"> to commence </w:t>
      </w:r>
      <w:r w:rsidR="00767FC8" w:rsidRPr="00767FC8">
        <w:t xml:space="preserve">in </w:t>
      </w:r>
      <w:r w:rsidR="009B4A7B">
        <w:t>Q4/2023</w:t>
      </w:r>
      <w:r w:rsidR="00767FC8" w:rsidRPr="00767FC8">
        <w:t xml:space="preserve">, with first gas output expected </w:t>
      </w:r>
      <w:r w:rsidR="00EB7051">
        <w:t>in 2024</w:t>
      </w:r>
    </w:p>
    <w:p w14:paraId="3699B178" w14:textId="77777777" w:rsidR="00767FC8" w:rsidRPr="00F95953" w:rsidRDefault="00767FC8" w:rsidP="00767FC8">
      <w:pPr>
        <w:pStyle w:val="Bulletedlist"/>
        <w:numPr>
          <w:ilvl w:val="0"/>
          <w:numId w:val="0"/>
        </w:numPr>
        <w:ind w:left="230"/>
        <w:jc w:val="both"/>
      </w:pPr>
    </w:p>
    <w:p w14:paraId="54DDF22E" w14:textId="07F1F398" w:rsidR="00767FC8" w:rsidRDefault="00CB69CD" w:rsidP="00767FC8">
      <w:pPr>
        <w:tabs>
          <w:tab w:val="left" w:pos="7286"/>
        </w:tabs>
        <w:jc w:val="both"/>
      </w:pPr>
      <w:r w:rsidRPr="00CB69CD">
        <w:rPr>
          <w:b/>
          <w:bCs/>
        </w:rPr>
        <w:t xml:space="preserve">Cairo, </w:t>
      </w:r>
      <w:r w:rsidR="004A2DF2">
        <w:rPr>
          <w:b/>
          <w:bCs/>
        </w:rPr>
        <w:t xml:space="preserve">6 July </w:t>
      </w:r>
      <w:r>
        <w:rPr>
          <w:b/>
          <w:bCs/>
        </w:rPr>
        <w:t>,</w:t>
      </w:r>
      <w:r w:rsidRPr="00CB69CD">
        <w:rPr>
          <w:b/>
          <w:bCs/>
        </w:rPr>
        <w:t xml:space="preserve"> 2023</w:t>
      </w:r>
      <w:r>
        <w:t xml:space="preserve">: </w:t>
      </w:r>
      <w:r w:rsidR="00767FC8">
        <w:t>Shell Egypt</w:t>
      </w:r>
      <w:r w:rsidR="00015165">
        <w:t xml:space="preserve"> </w:t>
      </w:r>
      <w:r w:rsidR="009B4A7B">
        <w:t>(</w:t>
      </w:r>
      <w:r w:rsidR="00015165">
        <w:t>BG Delta Limited</w:t>
      </w:r>
      <w:r w:rsidR="00BD0CA3">
        <w:t>)</w:t>
      </w:r>
      <w:r w:rsidR="00767FC8">
        <w:t xml:space="preserve"> a subsidiary of Shell plc.</w:t>
      </w:r>
      <w:r w:rsidR="00BD0CA3">
        <w:t xml:space="preserve">, </w:t>
      </w:r>
      <w:r w:rsidR="009B1F52">
        <w:t>and its partners</w:t>
      </w:r>
      <w:r w:rsidR="006A01A6">
        <w:t xml:space="preserve">; the </w:t>
      </w:r>
      <w:r w:rsidR="00FD1FFD">
        <w:t>Egyptian Natural Gas Holding Company (EGAS),</w:t>
      </w:r>
      <w:r w:rsidR="006A01A6">
        <w:t xml:space="preserve"> the</w:t>
      </w:r>
      <w:r w:rsidR="00FD1FFD">
        <w:t xml:space="preserve"> </w:t>
      </w:r>
      <w:r w:rsidR="00767FC8" w:rsidRPr="00767FC8">
        <w:t>Egyptian General Petroleum Corporation</w:t>
      </w:r>
      <w:r w:rsidR="00767FC8">
        <w:t xml:space="preserve"> (EGPC</w:t>
      </w:r>
      <w:r w:rsidR="00767FC8" w:rsidRPr="00767FC8">
        <w:t>)</w:t>
      </w:r>
      <w:r w:rsidR="006A01A6">
        <w:t xml:space="preserve"> </w:t>
      </w:r>
      <w:r w:rsidR="00FD1FFD">
        <w:t>and Petronas</w:t>
      </w:r>
      <w:r w:rsidR="00767FC8" w:rsidRPr="00767FC8">
        <w:t xml:space="preserve"> </w:t>
      </w:r>
      <w:r w:rsidR="00EB7051">
        <w:t xml:space="preserve">signed </w:t>
      </w:r>
      <w:r w:rsidR="00767FC8">
        <w:t xml:space="preserve">an agreement </w:t>
      </w:r>
      <w:r w:rsidR="00767FC8" w:rsidRPr="004E246F">
        <w:t xml:space="preserve">to commence </w:t>
      </w:r>
      <w:r w:rsidR="00536A50" w:rsidRPr="00D26349">
        <w:t>development of the tenth phase</w:t>
      </w:r>
      <w:r w:rsidR="00536A50" w:rsidRPr="004E246F">
        <w:t xml:space="preserve"> </w:t>
      </w:r>
      <w:r w:rsidR="00BD0CA3">
        <w:t>(</w:t>
      </w:r>
      <w:r w:rsidR="00520F66">
        <w:t>p</w:t>
      </w:r>
      <w:r w:rsidR="00837470" w:rsidRPr="004E246F">
        <w:t xml:space="preserve">hase </w:t>
      </w:r>
      <w:r w:rsidR="004E246F" w:rsidRPr="004E246F">
        <w:t>10</w:t>
      </w:r>
      <w:r w:rsidR="00BD0CA3">
        <w:t>)</w:t>
      </w:r>
      <w:r w:rsidR="00837470" w:rsidRPr="004E246F">
        <w:t xml:space="preserve"> </w:t>
      </w:r>
      <w:r w:rsidR="00923F8B" w:rsidRPr="004E246F">
        <w:t xml:space="preserve">in </w:t>
      </w:r>
      <w:r w:rsidR="00767FC8" w:rsidRPr="004E246F">
        <w:t>Egypt’s</w:t>
      </w:r>
      <w:r w:rsidR="009B4A7B" w:rsidRPr="004E246F">
        <w:t xml:space="preserve"> Nile Delta</w:t>
      </w:r>
      <w:r w:rsidR="00767FC8" w:rsidRPr="004E246F">
        <w:t xml:space="preserve"> offshore West Delta Deep Marine (WDDM) concession i</w:t>
      </w:r>
      <w:r w:rsidR="00767FC8" w:rsidRPr="00767FC8">
        <w:t>n the Mediterranean Sea</w:t>
      </w:r>
      <w:r w:rsidR="00767FC8">
        <w:t xml:space="preserve">. </w:t>
      </w:r>
    </w:p>
    <w:p w14:paraId="42BC5FEC" w14:textId="1F5237C6" w:rsidR="00923690" w:rsidRDefault="00520F66" w:rsidP="002F4EB5">
      <w:pPr>
        <w:tabs>
          <w:tab w:val="left" w:pos="7286"/>
        </w:tabs>
        <w:jc w:val="both"/>
      </w:pPr>
      <w:r>
        <w:t>Subject to regulatory approvals, d</w:t>
      </w:r>
      <w:r w:rsidR="009930C8">
        <w:t xml:space="preserve">rilling </w:t>
      </w:r>
      <w:r w:rsidR="00767FC8">
        <w:t xml:space="preserve">activities </w:t>
      </w:r>
      <w:r w:rsidR="009930C8">
        <w:t xml:space="preserve">are expected to </w:t>
      </w:r>
      <w:r w:rsidR="00767FC8">
        <w:t xml:space="preserve">commence in </w:t>
      </w:r>
      <w:r w:rsidR="00BD0CA3">
        <w:t xml:space="preserve">late </w:t>
      </w:r>
      <w:r w:rsidR="009B4A7B">
        <w:t>2023</w:t>
      </w:r>
      <w:r w:rsidR="00D9780F">
        <w:t xml:space="preserve"> when the rig arrives </w:t>
      </w:r>
      <w:r w:rsidR="004E246F">
        <w:t xml:space="preserve">at </w:t>
      </w:r>
      <w:r>
        <w:t xml:space="preserve">the </w:t>
      </w:r>
      <w:r w:rsidR="00D9780F">
        <w:t>location</w:t>
      </w:r>
      <w:r w:rsidR="00767FC8">
        <w:t xml:space="preserve">. </w:t>
      </w:r>
      <w:r w:rsidR="00D9780F">
        <w:t xml:space="preserve">The </w:t>
      </w:r>
      <w:r>
        <w:t xml:space="preserve">phase 10 </w:t>
      </w:r>
      <w:r w:rsidR="00D9780F">
        <w:t xml:space="preserve">development programme includes the drilling of </w:t>
      </w:r>
      <w:r w:rsidR="00767FC8">
        <w:t>three wells</w:t>
      </w:r>
      <w:r w:rsidR="00D9780F">
        <w:t>.</w:t>
      </w:r>
      <w:r w:rsidR="00767FC8">
        <w:t xml:space="preserve"> </w:t>
      </w:r>
      <w:r w:rsidR="00DA2ADC">
        <w:t xml:space="preserve">The </w:t>
      </w:r>
      <w:proofErr w:type="spellStart"/>
      <w:r w:rsidR="00923690">
        <w:t>Burullus</w:t>
      </w:r>
      <w:proofErr w:type="spellEnd"/>
      <w:r w:rsidR="00E91778">
        <w:t xml:space="preserve"> Gas Company</w:t>
      </w:r>
      <w:r w:rsidR="00923690">
        <w:t xml:space="preserve"> joint venture </w:t>
      </w:r>
      <w:r w:rsidR="002F4EB5">
        <w:t>is the operator of the WDDM concession</w:t>
      </w:r>
      <w:r w:rsidR="00AB47D8">
        <w:t xml:space="preserve"> and </w:t>
      </w:r>
      <w:r w:rsidR="00A46036">
        <w:t>the development phase 10</w:t>
      </w:r>
      <w:r w:rsidR="002F4EB5">
        <w:t>.</w:t>
      </w:r>
    </w:p>
    <w:p w14:paraId="7E2F4106" w14:textId="2EC05D25" w:rsidR="00767FC8" w:rsidRDefault="00767FC8" w:rsidP="006A01A6">
      <w:r>
        <w:t>Commenting on the agreement, H.E. Minister of Petroleum and Mineral Resources Eng. Tarek El-Molla said: “This</w:t>
      </w:r>
      <w:r w:rsidR="009A5AFF">
        <w:t xml:space="preserve"> is a significant step towards unlocking</w:t>
      </w:r>
      <w:r w:rsidR="006008C4">
        <w:t xml:space="preserve"> further </w:t>
      </w:r>
      <w:r w:rsidR="00102740">
        <w:t xml:space="preserve">hydrocarbon potential </w:t>
      </w:r>
      <w:r w:rsidR="00051779">
        <w:t xml:space="preserve">in </w:t>
      </w:r>
      <w:r w:rsidR="00B627CE">
        <w:t>Egypt’s rich Nile Delta</w:t>
      </w:r>
      <w:r w:rsidR="00577AB1">
        <w:t xml:space="preserve"> region</w:t>
      </w:r>
      <w:r w:rsidR="0008088F">
        <w:t xml:space="preserve">. We are </w:t>
      </w:r>
      <w:r w:rsidR="001D591B">
        <w:t>pleased</w:t>
      </w:r>
      <w:r w:rsidR="0008088F">
        <w:t xml:space="preserve"> to strengthen our longstanding partnership with Shell, which plays a crucial role in developing Egypt’s </w:t>
      </w:r>
      <w:r w:rsidR="006F4D3A">
        <w:t xml:space="preserve">energy </w:t>
      </w:r>
      <w:r w:rsidR="0008088F">
        <w:t>resources</w:t>
      </w:r>
      <w:r w:rsidR="00B627CE">
        <w:t xml:space="preserve"> and supporting the country’s ambition to become a regional energy hub</w:t>
      </w:r>
      <w:r w:rsidR="006C0938">
        <w:t>.</w:t>
      </w:r>
      <w:r w:rsidR="00294C36">
        <w:t>”</w:t>
      </w:r>
    </w:p>
    <w:p w14:paraId="3210D355" w14:textId="7709C716" w:rsidR="00AC24C9" w:rsidRDefault="00767FC8" w:rsidP="001D591B">
      <w:pPr>
        <w:tabs>
          <w:tab w:val="left" w:pos="7286"/>
        </w:tabs>
        <w:jc w:val="both"/>
      </w:pPr>
      <w:r>
        <w:t>Eng. Khaled Kacem, Shell’s Vice President &amp; Country Chair for Egypt, said</w:t>
      </w:r>
      <w:r w:rsidR="00946D39">
        <w:t>:</w:t>
      </w:r>
      <w:r>
        <w:t xml:space="preserve"> “</w:t>
      </w:r>
      <w:r w:rsidR="006F4D3A">
        <w:t>Today’s announcement marks</w:t>
      </w:r>
      <w:r w:rsidR="006A01A6">
        <w:t xml:space="preserve"> yet</w:t>
      </w:r>
      <w:r w:rsidR="0008088F">
        <w:t xml:space="preserve"> another significant step </w:t>
      </w:r>
      <w:r w:rsidR="00213091">
        <w:t>to</w:t>
      </w:r>
      <w:r w:rsidR="006F4D3A">
        <w:t>ward</w:t>
      </w:r>
      <w:r w:rsidR="00213091">
        <w:t xml:space="preserve"> </w:t>
      </w:r>
      <w:r w:rsidR="006F4D3A">
        <w:t xml:space="preserve">promoting </w:t>
      </w:r>
      <w:r w:rsidR="0008088F">
        <w:t xml:space="preserve">the country’s energy roadmap. </w:t>
      </w:r>
      <w:r w:rsidR="00213091">
        <w:t xml:space="preserve">Investing in </w:t>
      </w:r>
      <w:r w:rsidR="00520F66">
        <w:t>p</w:t>
      </w:r>
      <w:r w:rsidR="00213091">
        <w:t xml:space="preserve">hase 10 is a </w:t>
      </w:r>
      <w:r w:rsidR="0068553F">
        <w:t>first</w:t>
      </w:r>
      <w:r w:rsidR="00213091">
        <w:t xml:space="preserve"> step towards further opportunities to unlock the full potential of WDDM</w:t>
      </w:r>
      <w:r w:rsidR="006A01A6">
        <w:t>,</w:t>
      </w:r>
      <w:r w:rsidR="004A652B">
        <w:t xml:space="preserve"> and </w:t>
      </w:r>
      <w:r w:rsidR="006F4D3A">
        <w:t xml:space="preserve">strengthens </w:t>
      </w:r>
      <w:r w:rsidR="00722D93">
        <w:t xml:space="preserve">Shell’s position in </w:t>
      </w:r>
      <w:r w:rsidR="00A747C2">
        <w:t>the Nile Delta</w:t>
      </w:r>
      <w:r w:rsidR="00213091">
        <w:t xml:space="preserve">. </w:t>
      </w:r>
      <w:r w:rsidR="0008088F">
        <w:t xml:space="preserve">As a strategic partner to Egypt, we are proud to support the Ministry of Petroleum's vision to </w:t>
      </w:r>
      <w:r w:rsidR="005A5F19">
        <w:t>transform the sector into</w:t>
      </w:r>
      <w:r w:rsidR="0008088F">
        <w:t xml:space="preserve"> a</w:t>
      </w:r>
      <w:r w:rsidR="00303C0B">
        <w:t>n engine for</w:t>
      </w:r>
      <w:r w:rsidR="0008088F">
        <w:t xml:space="preserve"> growth and sustainable development.</w:t>
      </w:r>
      <w:r w:rsidR="00855AC3">
        <w:t>”</w:t>
      </w:r>
      <w:r w:rsidR="001D591B">
        <w:t xml:space="preserve"> </w:t>
      </w:r>
    </w:p>
    <w:p w14:paraId="296B6941" w14:textId="72426A6B" w:rsidR="0045745C" w:rsidRDefault="00CA1919" w:rsidP="0045745C">
      <w:pPr>
        <w:tabs>
          <w:tab w:val="left" w:pos="7286"/>
        </w:tabs>
        <w:jc w:val="both"/>
      </w:pPr>
      <w:r>
        <w:t xml:space="preserve">It is worth noting that </w:t>
      </w:r>
      <w:r w:rsidR="00536A50">
        <w:t xml:space="preserve">Shell </w:t>
      </w:r>
      <w:r>
        <w:t>and partners have developed the WDDM concession a</w:t>
      </w:r>
      <w:r w:rsidR="00536A50">
        <w:t xml:space="preserve">cross nine development phases, the most recent being </w:t>
      </w:r>
      <w:r w:rsidR="00520F66">
        <w:t xml:space="preserve">phase </w:t>
      </w:r>
      <w:r w:rsidR="00536A50">
        <w:t>9B</w:t>
      </w:r>
      <w:r>
        <w:t xml:space="preserve">. The </w:t>
      </w:r>
      <w:r w:rsidR="00536A50">
        <w:t>concession comprises 17 gas fields, located at water depths ranging from 300 meters to 1,</w:t>
      </w:r>
      <w:r>
        <w:t xml:space="preserve">200 </w:t>
      </w:r>
      <w:r w:rsidR="00536A50">
        <w:t xml:space="preserve">meters and spanning approximately 90-120 kilometres from the shore. </w:t>
      </w:r>
    </w:p>
    <w:p w14:paraId="737F138F" w14:textId="77777777" w:rsidR="0045745C" w:rsidRDefault="0045745C" w:rsidP="0045745C">
      <w:pPr>
        <w:tabs>
          <w:tab w:val="left" w:pos="7286"/>
        </w:tabs>
        <w:jc w:val="center"/>
      </w:pPr>
      <w:r>
        <w:t>- ENDS –</w:t>
      </w:r>
    </w:p>
    <w:p w14:paraId="6D1E5214" w14:textId="77777777" w:rsidR="0045745C" w:rsidRPr="00E070FB" w:rsidRDefault="0045745C" w:rsidP="0045745C">
      <w:pPr>
        <w:pStyle w:val="Heading3"/>
      </w:pPr>
      <w:r w:rsidRPr="00E070FB">
        <w:t>Enquiries</w:t>
      </w:r>
    </w:p>
    <w:p w14:paraId="3F3FB04B" w14:textId="77777777" w:rsidR="0045745C" w:rsidRDefault="0045745C" w:rsidP="0045745C">
      <w:pPr>
        <w:spacing w:line="240" w:lineRule="auto"/>
        <w:contextualSpacing/>
      </w:pPr>
      <w:r>
        <w:br/>
        <w:t xml:space="preserve">Middle East &amp; North Africa </w:t>
      </w:r>
      <w:r w:rsidRPr="00E01D57">
        <w:t xml:space="preserve">Media </w:t>
      </w:r>
      <w:r>
        <w:t>Relations</w:t>
      </w:r>
      <w:r w:rsidRPr="00E01D57">
        <w:t xml:space="preserve">: </w:t>
      </w:r>
      <w:r>
        <w:t>MENA.Media@shell.com</w:t>
      </w:r>
    </w:p>
    <w:p w14:paraId="095AFDCC" w14:textId="77777777" w:rsidR="0045745C" w:rsidRDefault="0045745C" w:rsidP="0045745C">
      <w:pPr>
        <w:spacing w:line="240" w:lineRule="auto"/>
        <w:contextualSpacing/>
      </w:pPr>
    </w:p>
    <w:p w14:paraId="02C738B4" w14:textId="77777777" w:rsidR="0045745C" w:rsidRDefault="0045745C" w:rsidP="0045745C">
      <w:pPr>
        <w:spacing w:line="240" w:lineRule="auto"/>
        <w:contextualSpacing/>
      </w:pPr>
      <w:r>
        <w:t xml:space="preserve">Sherine Nehad </w:t>
      </w:r>
    </w:p>
    <w:p w14:paraId="2FD710B5" w14:textId="77777777" w:rsidR="0045745C" w:rsidRDefault="0045745C" w:rsidP="0045745C">
      <w:pPr>
        <w:spacing w:line="240" w:lineRule="auto"/>
        <w:contextualSpacing/>
      </w:pPr>
      <w:r>
        <w:lastRenderedPageBreak/>
        <w:t xml:space="preserve">Communications Manager </w:t>
      </w:r>
    </w:p>
    <w:p w14:paraId="68A8B5E3" w14:textId="77777777" w:rsidR="0045745C" w:rsidRDefault="0045745C" w:rsidP="0045745C">
      <w:pPr>
        <w:spacing w:line="240" w:lineRule="auto"/>
        <w:contextualSpacing/>
      </w:pPr>
      <w:r>
        <w:t xml:space="preserve">Shell Egypt N.V. </w:t>
      </w:r>
    </w:p>
    <w:p w14:paraId="2B56B6E8" w14:textId="77777777" w:rsidR="0045745C" w:rsidRPr="00114230" w:rsidRDefault="0045745C" w:rsidP="0045745C">
      <w:pPr>
        <w:spacing w:line="240" w:lineRule="auto"/>
        <w:contextualSpacing/>
        <w:rPr>
          <w:lang w:val="es-ES"/>
        </w:rPr>
      </w:pPr>
      <w:r w:rsidRPr="00114230">
        <w:rPr>
          <w:lang w:val="es-ES"/>
        </w:rPr>
        <w:t>Cell: +201271110420</w:t>
      </w:r>
    </w:p>
    <w:p w14:paraId="38B3BC45" w14:textId="77777777" w:rsidR="0045745C" w:rsidRPr="00114230" w:rsidRDefault="0045745C" w:rsidP="0045745C">
      <w:pPr>
        <w:spacing w:line="240" w:lineRule="auto"/>
        <w:contextualSpacing/>
        <w:rPr>
          <w:lang w:val="es-ES"/>
        </w:rPr>
      </w:pPr>
      <w:r w:rsidRPr="00114230">
        <w:rPr>
          <w:lang w:val="es-ES"/>
        </w:rPr>
        <w:t xml:space="preserve">Sherine.Nehad@shell.com </w:t>
      </w:r>
    </w:p>
    <w:p w14:paraId="624A82AC" w14:textId="77777777" w:rsidR="0045745C" w:rsidRPr="00114230" w:rsidRDefault="0045745C" w:rsidP="0045745C">
      <w:pPr>
        <w:spacing w:line="240" w:lineRule="auto"/>
        <w:contextualSpacing/>
        <w:rPr>
          <w:lang w:val="es-ES"/>
        </w:rPr>
      </w:pPr>
    </w:p>
    <w:p w14:paraId="5F83F7FE" w14:textId="77777777" w:rsidR="0045745C" w:rsidRDefault="0045745C" w:rsidP="0045745C">
      <w:pPr>
        <w:spacing w:line="240" w:lineRule="auto"/>
        <w:contextualSpacing/>
      </w:pPr>
    </w:p>
    <w:p w14:paraId="64CDC09C" w14:textId="77777777" w:rsidR="0045745C" w:rsidRDefault="0045745C" w:rsidP="0045745C">
      <w:pPr>
        <w:spacing w:after="0" w:line="240" w:lineRule="auto"/>
      </w:pPr>
    </w:p>
    <w:p w14:paraId="44630BBF" w14:textId="77777777" w:rsidR="0045745C" w:rsidRPr="00E070FB" w:rsidRDefault="0045745C" w:rsidP="0045745C">
      <w:pPr>
        <w:pStyle w:val="Heading3"/>
      </w:pPr>
      <w:r w:rsidRPr="00E070FB">
        <w:t>Cautionary note</w:t>
      </w:r>
    </w:p>
    <w:p w14:paraId="26C66785" w14:textId="77777777" w:rsidR="0045745C" w:rsidRDefault="0045745C" w:rsidP="0045745C">
      <w:pPr>
        <w:spacing w:after="0" w:line="240" w:lineRule="auto"/>
        <w:rPr>
          <w:rFonts w:eastAsia="Times New Roman" w:cs="Arial"/>
          <w:sz w:val="18"/>
          <w:szCs w:val="18"/>
        </w:rPr>
      </w:pPr>
      <w:r>
        <w:rPr>
          <w:rFonts w:eastAsia="Times New Roman" w:cs="Arial"/>
          <w:sz w:val="18"/>
          <w:szCs w:val="18"/>
        </w:rPr>
        <w:t>The companies in which Shell plc directly and indirectly owns investments are separate legal entities. In this announcement “Shell”, “Shell Group” and “Group” are sometimes used for convenience where references are made to Shell plc and its subsidiaries in general. Likewise, the words “we”, “us” and “our” are also used to refer to Shell plc and its subsidiaries in general or to those who work for them. These terms are also used where no useful purpose is served by identifying the particular entity or entities. ‘‘Subsidiaries’’, “Shell subsidiaries” and “Shell companies” as used in this announcement refer to entities over which Shell plc either directly or indirectly has control. Entities and unincorporated arrangements over which Shell has joint control are generally referred to as “joint ventures” and “joint operations”, respectively. “Joint ventures” and “joint operations” are collectively referred to as “joint arrangements”. Entities over which Shell has significant influence but neither control nor joint control are referred to as “associates”. The term “Shell interest” is used for convenience to indicate the direct and/or indirect ownership interest held by Shell in an entity or unincorporated joint arrangement, after exclusion of all third-party interest.</w:t>
      </w:r>
    </w:p>
    <w:p w14:paraId="247E1795" w14:textId="77777777" w:rsidR="0045745C" w:rsidRDefault="0045745C" w:rsidP="0045745C">
      <w:pPr>
        <w:spacing w:after="0" w:line="240" w:lineRule="auto"/>
        <w:rPr>
          <w:rFonts w:eastAsia="Times New Roman" w:cs="Arial"/>
          <w:sz w:val="18"/>
          <w:szCs w:val="18"/>
        </w:rPr>
      </w:pPr>
    </w:p>
    <w:p w14:paraId="145B86CC" w14:textId="77777777" w:rsidR="0045745C" w:rsidRDefault="0045745C" w:rsidP="0045745C">
      <w:pPr>
        <w:spacing w:after="0" w:line="240" w:lineRule="auto"/>
        <w:rPr>
          <w:rFonts w:eastAsia="Times New Roman" w:cs="Arial"/>
          <w:sz w:val="18"/>
          <w:szCs w:val="18"/>
        </w:rPr>
      </w:pPr>
      <w:r>
        <w:rPr>
          <w:rFonts w:eastAsia="Times New Roman" w:cs="Arial"/>
          <w:b/>
          <w:bCs/>
          <w:sz w:val="18"/>
          <w:szCs w:val="18"/>
          <w:bdr w:val="none" w:sz="0" w:space="0" w:color="auto" w:frame="1"/>
        </w:rPr>
        <w:t>Forward-Looking Statements</w:t>
      </w:r>
    </w:p>
    <w:p w14:paraId="164F0785" w14:textId="77777777" w:rsidR="0045745C" w:rsidRDefault="0045745C" w:rsidP="0045745C">
      <w:pPr>
        <w:spacing w:after="0" w:line="240" w:lineRule="auto"/>
        <w:rPr>
          <w:rStyle w:val="Hyperlink"/>
          <w:bdr w:val="none" w:sz="0" w:space="0" w:color="auto" w:frame="1"/>
        </w:rPr>
      </w:pPr>
      <w:r>
        <w:rPr>
          <w:rFonts w:eastAsia="Times New Roman" w:cs="Arial"/>
          <w:sz w:val="18"/>
          <w:szCs w:val="18"/>
        </w:rPr>
        <w:t>This announcement contains forward-looking statements (within the meaning of the U.S. Private Securities Litigation Reform Act of 1995) concerning the financial condition, results of operations and businesses of Shell. All statements other than statements of historical fact are, or may be deemed to be, forward-looking statements. Forward-looking statements are statements of future expectations that are based on management’s current expectations and assumptions and involve known and unknown risks and uncertainties that could cause actual results, performance or events to differ materially from those expressed or implied in these statements. Forward-looking statements include, among other things, statements concerning the potential exposure of Shell to market risks and statements expressing management’s expectations, beliefs, estimates, forecasts, projections and assumptions. These forward-looking statements are identified by their use of terms and phrases such as “aim”, “ambition”, ‘‘anticipate’’, ‘‘believe’’, ‘‘could’’, ‘‘estimate’’, ‘‘expect’’, ‘‘goals’’, ‘‘intend’’, ‘‘may’’, “milestones”, ‘‘objectives’’, ‘‘outlook’’, ‘‘plan’’, ‘‘probably’’, ‘‘project’’, ‘‘risks’’, “schedule”, ‘‘seek’’, ‘‘should’’, ‘‘target’’, ‘‘will’’ and similar terms and phrases. There are a number of factors that could affect the future operations of Shell and could cause those results to differ materially from those expressed in the forward-looking statements included in this announcement, including (without limitation): (a) price fluctuations in crude oil and natural gas; (b) changes in demand for Shell’s products; (c) currency fluctuations; (d) drilling and production results; (e) reserves estimates; (f) loss of market share and industry competition; (g) environmental and physical risks; (h) risks associated with the identification of suitable potential acquisition properties and targets, and successful negotiation and completion of such transactions; (i) the risk of doing business in developing countries and countries subject to international sanctions; (j) legislative, judicial, fiscal and regulatory developments including regulatory measures addressing climate change; (k) economic and financial market conditions in various countries and regions; (l) political risks, including the risks of expropriation and renegotiation of the terms of contracts with governmental entities, delays or advancements in the approval of projects and delays in the reimbursement for shared costs; (m) risks associated with the impact of pandemics, such as the COVID-19 (coronavirus) outbreak; and (n) changes in trading conditions. No assurance is provided that future dividend payments will match or exceed previous dividend payments. All forward-looking statements contained in this announcement are expressly qualified in their entirety by the cautionary statements contained or referred to in this section. Readers should not place undue reliance on forward-looking statements. Additional risk factors that may affect future results are contained in Shell plc’s Form 20-F for the year ended December 31, 2022 (available at </w:t>
      </w:r>
      <w:hyperlink r:id="rId12" w:tgtFrame="_self" w:history="1">
        <w:r>
          <w:rPr>
            <w:rStyle w:val="Hyperlink"/>
            <w:rFonts w:eastAsia="Times New Roman" w:cs="Arial"/>
            <w:sz w:val="18"/>
            <w:szCs w:val="18"/>
            <w:bdr w:val="none" w:sz="0" w:space="0" w:color="auto" w:frame="1"/>
          </w:rPr>
          <w:t>www.shell.com/investor</w:t>
        </w:r>
      </w:hyperlink>
      <w:r>
        <w:rPr>
          <w:rFonts w:eastAsia="Times New Roman" w:cs="Arial"/>
          <w:sz w:val="18"/>
          <w:szCs w:val="18"/>
        </w:rPr>
        <w:t> and </w:t>
      </w:r>
      <w:hyperlink r:id="rId13" w:tgtFrame="_blank" w:history="1">
        <w:r>
          <w:rPr>
            <w:rStyle w:val="Hyperlink"/>
            <w:rFonts w:eastAsia="Times New Roman" w:cs="Arial"/>
            <w:sz w:val="18"/>
            <w:szCs w:val="18"/>
            <w:bdr w:val="none" w:sz="0" w:space="0" w:color="auto" w:frame="1"/>
          </w:rPr>
          <w:t>www.sec.gov</w:t>
        </w:r>
      </w:hyperlink>
    </w:p>
    <w:p w14:paraId="70E030C3" w14:textId="0979470E" w:rsidR="0045745C" w:rsidRDefault="0045745C" w:rsidP="0045745C">
      <w:pPr>
        <w:spacing w:after="0" w:line="240" w:lineRule="auto"/>
      </w:pPr>
      <w:r>
        <w:rPr>
          <w:rFonts w:eastAsia="Times New Roman" w:cs="Arial"/>
          <w:sz w:val="18"/>
          <w:szCs w:val="18"/>
          <w:bdr w:val="none" w:sz="0" w:space="0" w:color="auto" w:frame="1"/>
        </w:rPr>
        <w:t>). These risk factors also expressly qualify all forward-looking statements contained in this announcement and should be considered by the reader. Each forward-looking statement speaks only as of the date of this a</w:t>
      </w:r>
      <w:r w:rsidRPr="004127B4">
        <w:rPr>
          <w:rFonts w:eastAsia="Times New Roman" w:cs="Arial"/>
          <w:sz w:val="18"/>
          <w:szCs w:val="18"/>
          <w:bdr w:val="none" w:sz="0" w:space="0" w:color="auto" w:frame="1"/>
        </w:rPr>
        <w:t xml:space="preserve">nnouncement, </w:t>
      </w:r>
      <w:r w:rsidR="004127B4" w:rsidRPr="004127B4">
        <w:rPr>
          <w:rFonts w:eastAsia="Times New Roman" w:cs="Arial"/>
          <w:sz w:val="18"/>
          <w:szCs w:val="18"/>
          <w:bdr w:val="none" w:sz="0" w:space="0" w:color="auto" w:frame="1"/>
          <w:lang w:val="en-US"/>
        </w:rPr>
        <w:t>July 6, 2023</w:t>
      </w:r>
      <w:r w:rsidRPr="004127B4">
        <w:rPr>
          <w:rFonts w:eastAsia="Times New Roman" w:cs="Arial"/>
          <w:sz w:val="18"/>
          <w:szCs w:val="18"/>
          <w:bdr w:val="none" w:sz="0" w:space="0" w:color="auto" w:frame="1"/>
        </w:rPr>
        <w:t>. Neither Shell plc nor any of its subsidiaries undertake any obligation to publicly update</w:t>
      </w:r>
      <w:r w:rsidRPr="000407A5">
        <w:rPr>
          <w:rFonts w:eastAsia="Times New Roman" w:cs="Arial"/>
          <w:sz w:val="18"/>
          <w:szCs w:val="18"/>
          <w:bdr w:val="none" w:sz="0" w:space="0" w:color="auto" w:frame="1"/>
        </w:rPr>
        <w:t xml:space="preserve"> or revise any for</w:t>
      </w:r>
      <w:r>
        <w:rPr>
          <w:rFonts w:eastAsia="Times New Roman" w:cs="Arial"/>
          <w:sz w:val="18"/>
          <w:szCs w:val="18"/>
          <w:bdr w:val="none" w:sz="0" w:space="0" w:color="auto" w:frame="1"/>
        </w:rPr>
        <w:t>ward-looking statement as a result of new information, future events or other information. In light of these risks, results could differ materially from those stated, implied or inferred from the forward-looking statements contained in this announcement.</w:t>
      </w:r>
    </w:p>
    <w:p w14:paraId="63BB9290" w14:textId="77777777" w:rsidR="0045745C" w:rsidRDefault="0045745C" w:rsidP="0045745C">
      <w:pPr>
        <w:spacing w:after="0" w:line="240" w:lineRule="auto"/>
        <w:rPr>
          <w:rFonts w:eastAsia="Times New Roman" w:cs="Arial"/>
          <w:sz w:val="18"/>
          <w:szCs w:val="18"/>
        </w:rPr>
      </w:pPr>
    </w:p>
    <w:p w14:paraId="2DF2838B" w14:textId="77777777" w:rsidR="0045745C" w:rsidRDefault="0045745C" w:rsidP="0045745C">
      <w:pPr>
        <w:spacing w:after="0" w:line="240" w:lineRule="auto"/>
        <w:rPr>
          <w:rFonts w:eastAsia="Times New Roman" w:cs="Arial"/>
          <w:sz w:val="18"/>
          <w:szCs w:val="18"/>
          <w:bdr w:val="none" w:sz="0" w:space="0" w:color="auto" w:frame="1"/>
        </w:rPr>
      </w:pPr>
      <w:r>
        <w:rPr>
          <w:rFonts w:eastAsia="Times New Roman" w:cs="Arial"/>
          <w:b/>
          <w:bCs/>
          <w:sz w:val="18"/>
          <w:szCs w:val="18"/>
          <w:bdr w:val="none" w:sz="0" w:space="0" w:color="auto" w:frame="1"/>
        </w:rPr>
        <w:t>Shell’s net carbon intensity</w:t>
      </w:r>
    </w:p>
    <w:p w14:paraId="4BAD2E2F" w14:textId="77777777" w:rsidR="0045745C" w:rsidRDefault="0045745C" w:rsidP="0045745C">
      <w:pPr>
        <w:spacing w:after="0" w:line="240" w:lineRule="auto"/>
        <w:rPr>
          <w:rFonts w:eastAsia="Times New Roman" w:cs="Arial"/>
          <w:sz w:val="18"/>
          <w:szCs w:val="18"/>
          <w:bdr w:val="none" w:sz="0" w:space="0" w:color="auto" w:frame="1"/>
        </w:rPr>
      </w:pPr>
      <w:r>
        <w:rPr>
          <w:rFonts w:eastAsia="Times New Roman" w:cs="Arial"/>
          <w:sz w:val="18"/>
          <w:szCs w:val="18"/>
          <w:bdr w:val="none" w:sz="0" w:space="0" w:color="auto" w:frame="1"/>
        </w:rPr>
        <w:t>Also, in this announcement we may refer to Shell’s “Net Carbon Intensity”, which include Shell’s carbon emissions from the production of our energy products, our suppliers’ carbon emissions in supplying energy for that production and our customers’ carbon emissions associated with their use of the energy products we sell. Shell only controls its own emissions. The use of the term Shell’s “Net Carbon Intensity” is for convenience only and not intended to suggest these emissions are those of Shell plc or its subsidiaries.</w:t>
      </w:r>
    </w:p>
    <w:p w14:paraId="4DD18DE0" w14:textId="77777777" w:rsidR="0045745C" w:rsidRDefault="0045745C" w:rsidP="0045745C">
      <w:pPr>
        <w:spacing w:after="0" w:line="240" w:lineRule="auto"/>
        <w:rPr>
          <w:rFonts w:eastAsia="Times New Roman" w:cs="Arial"/>
          <w:sz w:val="18"/>
          <w:szCs w:val="18"/>
          <w:bdr w:val="none" w:sz="0" w:space="0" w:color="auto" w:frame="1"/>
        </w:rPr>
      </w:pPr>
    </w:p>
    <w:p w14:paraId="7B3CAB2E" w14:textId="77777777" w:rsidR="0045745C" w:rsidRDefault="0045745C" w:rsidP="0045745C">
      <w:pPr>
        <w:spacing w:after="0" w:line="240" w:lineRule="auto"/>
        <w:rPr>
          <w:rFonts w:eastAsia="Times New Roman" w:cs="Arial"/>
          <w:sz w:val="18"/>
          <w:szCs w:val="18"/>
          <w:bdr w:val="none" w:sz="0" w:space="0" w:color="auto" w:frame="1"/>
        </w:rPr>
      </w:pPr>
      <w:r>
        <w:rPr>
          <w:rFonts w:eastAsia="Times New Roman" w:cs="Arial"/>
          <w:b/>
          <w:bCs/>
          <w:sz w:val="18"/>
          <w:szCs w:val="18"/>
          <w:bdr w:val="none" w:sz="0" w:space="0" w:color="auto" w:frame="1"/>
        </w:rPr>
        <w:t>Shell’s net-Zero Emissions Target</w:t>
      </w:r>
    </w:p>
    <w:p w14:paraId="617FF7A0" w14:textId="77777777" w:rsidR="0045745C" w:rsidRDefault="0045745C" w:rsidP="0045745C">
      <w:pPr>
        <w:spacing w:after="0" w:line="240" w:lineRule="auto"/>
        <w:rPr>
          <w:rFonts w:eastAsia="Times New Roman" w:cs="Arial"/>
          <w:sz w:val="18"/>
          <w:szCs w:val="18"/>
          <w:bdr w:val="none" w:sz="0" w:space="0" w:color="auto" w:frame="1"/>
        </w:rPr>
      </w:pPr>
      <w:r>
        <w:rPr>
          <w:rFonts w:eastAsia="Times New Roman" w:cs="Arial"/>
          <w:sz w:val="18"/>
          <w:szCs w:val="18"/>
          <w:bdr w:val="none" w:sz="0" w:space="0" w:color="auto" w:frame="1"/>
        </w:rPr>
        <w:t xml:space="preserve">Shell’s operating plan, outlook and budgets are forecasted for a ten-year period and are updated every year. They reflect the current economic environment and what we can reasonably expect to see over the next ten years. Accordingly, they reflect our Scope 1, Scope 2 and Net Carbon Intensity (NCI) targets over the next ten years. However, Shell’s operating plans cannot reflect our 2050 net-zero emissions target and 2035 NCI target, as these targets are currently outside our </w:t>
      </w:r>
      <w:r>
        <w:rPr>
          <w:rFonts w:eastAsia="Times New Roman" w:cs="Arial"/>
          <w:sz w:val="18"/>
          <w:szCs w:val="18"/>
          <w:bdr w:val="none" w:sz="0" w:space="0" w:color="auto" w:frame="1"/>
        </w:rPr>
        <w:lastRenderedPageBreak/>
        <w:t>planning period. In the future, as society moves towards net-zero emissions, we expect Shell’s operating plans to reflect this movement. However, if society is not net zero in 2050, as of today, there would be significant risk that Shell may not meet this target.</w:t>
      </w:r>
    </w:p>
    <w:p w14:paraId="054B8EF8" w14:textId="77777777" w:rsidR="0045745C" w:rsidRDefault="0045745C" w:rsidP="0045745C">
      <w:pPr>
        <w:spacing w:after="0" w:line="240" w:lineRule="auto"/>
        <w:rPr>
          <w:rFonts w:eastAsia="Times New Roman" w:cs="Arial"/>
          <w:sz w:val="18"/>
          <w:szCs w:val="18"/>
          <w:bdr w:val="none" w:sz="0" w:space="0" w:color="auto" w:frame="1"/>
        </w:rPr>
      </w:pPr>
    </w:p>
    <w:p w14:paraId="3EB86B67" w14:textId="77777777" w:rsidR="0045745C" w:rsidRDefault="0045745C" w:rsidP="0045745C">
      <w:pPr>
        <w:spacing w:after="0" w:line="240" w:lineRule="auto"/>
        <w:rPr>
          <w:rFonts w:eastAsia="Times New Roman" w:cs="Arial"/>
          <w:sz w:val="18"/>
          <w:szCs w:val="18"/>
          <w:bdr w:val="none" w:sz="0" w:space="0" w:color="auto" w:frame="1"/>
        </w:rPr>
      </w:pPr>
      <w:r>
        <w:rPr>
          <w:rFonts w:eastAsia="Times New Roman" w:cs="Arial"/>
          <w:b/>
          <w:bCs/>
          <w:sz w:val="18"/>
          <w:szCs w:val="18"/>
          <w:bdr w:val="none" w:sz="0" w:space="0" w:color="auto" w:frame="1"/>
        </w:rPr>
        <w:t>Forward Looking Non-GAAP measures</w:t>
      </w:r>
    </w:p>
    <w:p w14:paraId="43FD27CF" w14:textId="77777777" w:rsidR="0045745C" w:rsidRDefault="0045745C" w:rsidP="0045745C">
      <w:pPr>
        <w:spacing w:after="0" w:line="240" w:lineRule="auto"/>
        <w:rPr>
          <w:rFonts w:eastAsia="Times New Roman" w:cs="Arial"/>
          <w:sz w:val="18"/>
          <w:szCs w:val="18"/>
          <w:bdr w:val="none" w:sz="0" w:space="0" w:color="auto" w:frame="1"/>
        </w:rPr>
      </w:pPr>
      <w:r>
        <w:rPr>
          <w:rFonts w:eastAsia="Times New Roman" w:cs="Arial"/>
          <w:sz w:val="18"/>
          <w:szCs w:val="18"/>
          <w:bdr w:val="none" w:sz="0" w:space="0" w:color="auto" w:frame="1"/>
        </w:rPr>
        <w:t>This announcement may contain certain forward-looking non-GAAP measures such as cash capital expenditure and divestments. We are unable to provide a reconciliation of these forward-looking Non-GAAP measures to the most comparable GAAP financial measures because certain information needed to reconcile those Non-GAAP measures to the most comparable GAAP financial measures is dependent on future events some of which are outside the control of Shell, such as oil and gas prices, interest rates and exchange rates. Moreover, estimating such GAAP measures with the required precision necessary to provide a meaningful reconciliation is extremely difficult and could not be accomplished without unreasonable effort. Non-GAAP measures in respect of future periods which cannot be reconciled to the most comparable GAAP financial measure are calculated in a manner which is consistent with the accounting policies applied in Shell plc’s consolidated financial statements.</w:t>
      </w:r>
    </w:p>
    <w:p w14:paraId="61ECFE6C" w14:textId="77777777" w:rsidR="0045745C" w:rsidRDefault="0045745C" w:rsidP="0045745C">
      <w:pPr>
        <w:spacing w:after="0" w:line="240" w:lineRule="auto"/>
        <w:rPr>
          <w:rFonts w:eastAsia="Times New Roman" w:cs="Arial"/>
          <w:sz w:val="18"/>
          <w:szCs w:val="18"/>
          <w:bdr w:val="none" w:sz="0" w:space="0" w:color="auto" w:frame="1"/>
        </w:rPr>
      </w:pPr>
    </w:p>
    <w:p w14:paraId="5BE96759" w14:textId="77777777" w:rsidR="0045745C" w:rsidRDefault="0045745C" w:rsidP="0045745C">
      <w:pPr>
        <w:spacing w:after="0" w:line="240" w:lineRule="auto"/>
        <w:rPr>
          <w:rFonts w:eastAsia="Times New Roman" w:cs="Arial"/>
          <w:sz w:val="18"/>
          <w:szCs w:val="18"/>
          <w:bdr w:val="none" w:sz="0" w:space="0" w:color="auto" w:frame="1"/>
        </w:rPr>
      </w:pPr>
      <w:r>
        <w:rPr>
          <w:rFonts w:eastAsia="Times New Roman" w:cs="Arial"/>
          <w:sz w:val="18"/>
          <w:szCs w:val="18"/>
          <w:bdr w:val="none" w:sz="0" w:space="0" w:color="auto" w:frame="1"/>
        </w:rPr>
        <w:t>The contents of websites referred to in this announcement do not form part of this announcement.</w:t>
      </w:r>
    </w:p>
    <w:p w14:paraId="242EB3AD" w14:textId="77777777" w:rsidR="0045745C" w:rsidRDefault="0045745C" w:rsidP="0045745C">
      <w:pPr>
        <w:spacing w:after="0" w:line="240" w:lineRule="auto"/>
        <w:rPr>
          <w:rStyle w:val="Hyperlink"/>
        </w:rPr>
      </w:pPr>
      <w:r>
        <w:rPr>
          <w:rFonts w:eastAsia="Times New Roman" w:cs="Arial"/>
          <w:sz w:val="18"/>
          <w:szCs w:val="18"/>
          <w:bdr w:val="none" w:sz="0" w:space="0" w:color="auto" w:frame="1"/>
        </w:rPr>
        <w:t>We may have used certain terms, such as resources, in this announcement that the United States Securities and Exchange Commission (SEC) strictly prohibits us from including in our filings with the SEC. Investors are urged to consider closely the disclosure in our Form 20-F, File No 1-32575, available on the SEC website </w:t>
      </w:r>
      <w:hyperlink w:history="1">
        <w:r>
          <w:rPr>
            <w:rStyle w:val="Hyperlink"/>
            <w:rFonts w:eastAsia="Times New Roman" w:cs="Arial"/>
            <w:sz w:val="18"/>
            <w:szCs w:val="18"/>
            <w:bdr w:val="none" w:sz="0" w:space="0" w:color="auto" w:frame="1"/>
          </w:rPr>
          <w:t>www.sec.gov.</w:t>
        </w:r>
      </w:hyperlink>
    </w:p>
    <w:p w14:paraId="2EAFAE5E" w14:textId="77777777" w:rsidR="0045745C" w:rsidRDefault="0045745C" w:rsidP="0045745C">
      <w:pPr>
        <w:spacing w:after="0" w:line="240" w:lineRule="auto"/>
      </w:pPr>
    </w:p>
    <w:p w14:paraId="24C120AB" w14:textId="77777777" w:rsidR="0045745C" w:rsidRDefault="0045745C" w:rsidP="0045745C">
      <w:pPr>
        <w:spacing w:after="0" w:line="240" w:lineRule="auto"/>
        <w:rPr>
          <w:rFonts w:eastAsia="Times New Roman" w:cs="Arial"/>
          <w:sz w:val="18"/>
          <w:szCs w:val="18"/>
          <w:bdr w:val="none" w:sz="0" w:space="0" w:color="auto" w:frame="1"/>
        </w:rPr>
      </w:pPr>
      <w:r>
        <w:rPr>
          <w:rFonts w:eastAsia="Times New Roman" w:cs="Arial"/>
          <w:sz w:val="18"/>
          <w:szCs w:val="18"/>
          <w:bdr w:val="none" w:sz="0" w:space="0" w:color="auto" w:frame="1"/>
        </w:rPr>
        <w:t>LEI number of Shell plc: 21380068P1DRHMJ8KU70</w:t>
      </w:r>
    </w:p>
    <w:p w14:paraId="200F15C4" w14:textId="77777777" w:rsidR="0045745C" w:rsidRDefault="0045745C" w:rsidP="0045745C">
      <w:pPr>
        <w:spacing w:after="0" w:line="240" w:lineRule="auto"/>
        <w:rPr>
          <w:rFonts w:eastAsia="Times New Roman" w:cs="Arial"/>
          <w:sz w:val="18"/>
          <w:szCs w:val="18"/>
          <w:bdr w:val="none" w:sz="0" w:space="0" w:color="auto" w:frame="1"/>
        </w:rPr>
      </w:pPr>
    </w:p>
    <w:p w14:paraId="7DC2CB47" w14:textId="77777777" w:rsidR="0045745C" w:rsidRPr="00767FC8" w:rsidRDefault="0045745C" w:rsidP="0045745C">
      <w:pPr>
        <w:spacing w:after="0" w:line="240" w:lineRule="auto"/>
        <w:rPr>
          <w:rFonts w:eastAsia="Times New Roman" w:cs="Arial"/>
          <w:sz w:val="18"/>
          <w:szCs w:val="18"/>
          <w:bdr w:val="none" w:sz="0" w:space="0" w:color="auto" w:frame="1"/>
        </w:rPr>
      </w:pPr>
      <w:r>
        <w:rPr>
          <w:rFonts w:eastAsia="Times New Roman" w:cs="Arial"/>
          <w:sz w:val="18"/>
          <w:szCs w:val="18"/>
          <w:bdr w:val="none" w:sz="0" w:space="0" w:color="auto" w:frame="1"/>
        </w:rPr>
        <w:t>Classification: Additional regulated information required to be disclosed under the laws of a Member State</w:t>
      </w:r>
    </w:p>
    <w:p w14:paraId="70CEF6E7" w14:textId="77777777" w:rsidR="0045745C" w:rsidRPr="00B72C47" w:rsidRDefault="0045745C" w:rsidP="00B72C47">
      <w:pPr>
        <w:tabs>
          <w:tab w:val="left" w:pos="7286"/>
        </w:tabs>
        <w:jc w:val="center"/>
      </w:pPr>
    </w:p>
    <w:sectPr w:rsidR="0045745C" w:rsidRPr="00B72C47" w:rsidSect="00D96461">
      <w:headerReference w:type="default" r:id="rId14"/>
      <w:footerReference w:type="default" r:id="rId15"/>
      <w:headerReference w:type="first" r:id="rId16"/>
      <w:footerReference w:type="first" r:id="rId17"/>
      <w:pgSz w:w="11906" w:h="16838"/>
      <w:pgMar w:top="1134" w:right="1134" w:bottom="1134" w:left="1134"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AC04B" w14:textId="77777777" w:rsidR="00C904E9" w:rsidRDefault="00C904E9" w:rsidP="00F95953">
      <w:pPr>
        <w:spacing w:after="0" w:line="240" w:lineRule="auto"/>
      </w:pPr>
      <w:r>
        <w:separator/>
      </w:r>
    </w:p>
  </w:endnote>
  <w:endnote w:type="continuationSeparator" w:id="0">
    <w:p w14:paraId="70038BA8" w14:textId="77777777" w:rsidR="00C904E9" w:rsidRDefault="00C904E9" w:rsidP="00F95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67BE2" w14:textId="77777777" w:rsidR="00F95953" w:rsidRDefault="00F95953">
    <w:pPr>
      <w:pStyle w:val="Footer"/>
    </w:pPr>
    <w:r>
      <w:rPr>
        <w:rFonts w:cs="Arial"/>
        <w:noProof/>
        <w:color w:val="595959"/>
        <w:lang w:eastAsia="en-GB"/>
      </w:rPr>
      <mc:AlternateContent>
        <mc:Choice Requires="wps">
          <w:drawing>
            <wp:anchor distT="0" distB="0" distL="114300" distR="114300" simplePos="0" relativeHeight="251663360" behindDoc="0" locked="0" layoutInCell="1" allowOverlap="1" wp14:anchorId="7A865395" wp14:editId="0E417531">
              <wp:simplePos x="0" y="0"/>
              <wp:positionH relativeFrom="page">
                <wp:align>left</wp:align>
              </wp:positionH>
              <wp:positionV relativeFrom="page">
                <wp:align>bottom</wp:align>
              </wp:positionV>
              <wp:extent cx="7560000" cy="90000"/>
              <wp:effectExtent l="0" t="0" r="3175" b="5715"/>
              <wp:wrapNone/>
              <wp:docPr id="5" name="Rectangle 5"/>
              <wp:cNvGraphicFramePr/>
              <a:graphic xmlns:a="http://schemas.openxmlformats.org/drawingml/2006/main">
                <a:graphicData uri="http://schemas.microsoft.com/office/word/2010/wordprocessingShape">
                  <wps:wsp>
                    <wps:cNvSpPr/>
                    <wps:spPr>
                      <a:xfrm>
                        <a:off x="0" y="0"/>
                        <a:ext cx="7560000" cy="90000"/>
                      </a:xfrm>
                      <a:prstGeom prst="rect">
                        <a:avLst/>
                      </a:prstGeom>
                      <a:solidFill>
                        <a:srgbClr val="DD1D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B88F9" id="Rectangle 5" o:spid="_x0000_s1026" style="position:absolute;margin-left:0;margin-top:0;width:595.3pt;height:7.1pt;z-index:25166336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" fillcolor="#dd1d21"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0D19A" w14:textId="77777777" w:rsidR="00F95953" w:rsidRDefault="00F95953">
    <w:pPr>
      <w:pStyle w:val="Footer"/>
    </w:pPr>
    <w:r>
      <w:rPr>
        <w:rFonts w:cs="Arial"/>
        <w:noProof/>
        <w:color w:val="595959"/>
        <w:lang w:eastAsia="en-GB"/>
      </w:rPr>
      <mc:AlternateContent>
        <mc:Choice Requires="wps">
          <w:drawing>
            <wp:anchor distT="0" distB="0" distL="114300" distR="114300" simplePos="0" relativeHeight="251661312" behindDoc="0" locked="0" layoutInCell="1" allowOverlap="1" wp14:anchorId="48B2C586" wp14:editId="0D50946D">
              <wp:simplePos x="0" y="0"/>
              <wp:positionH relativeFrom="page">
                <wp:align>left</wp:align>
              </wp:positionH>
              <wp:positionV relativeFrom="page">
                <wp:align>bottom</wp:align>
              </wp:positionV>
              <wp:extent cx="7560000" cy="90000"/>
              <wp:effectExtent l="0" t="0" r="3175" b="5715"/>
              <wp:wrapNone/>
              <wp:docPr id="3" name="Rectangle 3"/>
              <wp:cNvGraphicFramePr/>
              <a:graphic xmlns:a="http://schemas.openxmlformats.org/drawingml/2006/main">
                <a:graphicData uri="http://schemas.microsoft.com/office/word/2010/wordprocessingShape">
                  <wps:wsp>
                    <wps:cNvSpPr/>
                    <wps:spPr>
                      <a:xfrm>
                        <a:off x="0" y="0"/>
                        <a:ext cx="7560000" cy="90000"/>
                      </a:xfrm>
                      <a:prstGeom prst="rect">
                        <a:avLst/>
                      </a:prstGeom>
                      <a:solidFill>
                        <a:srgbClr val="DD1D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9F632" id="Rectangle 3" o:spid="_x0000_s1026" style="position:absolute;margin-left:0;margin-top:0;width:595.3pt;height:7.1pt;z-index:2516613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" fillcolor="#dd1d21"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42793" w14:textId="77777777" w:rsidR="00C904E9" w:rsidRDefault="00C904E9" w:rsidP="00F95953">
      <w:pPr>
        <w:spacing w:after="0" w:line="240" w:lineRule="auto"/>
      </w:pPr>
      <w:r>
        <w:separator/>
      </w:r>
    </w:p>
  </w:footnote>
  <w:footnote w:type="continuationSeparator" w:id="0">
    <w:p w14:paraId="6FA0667E" w14:textId="77777777" w:rsidR="00C904E9" w:rsidRDefault="00C904E9" w:rsidP="00F95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777E64B" w14:paraId="4E34E9A5" w14:textId="77777777" w:rsidTr="1777E64B">
      <w:trPr>
        <w:trHeight w:val="300"/>
      </w:trPr>
      <w:tc>
        <w:tcPr>
          <w:tcW w:w="3210" w:type="dxa"/>
        </w:tcPr>
        <w:p w14:paraId="74585194" w14:textId="0523F37F" w:rsidR="1777E64B" w:rsidRDefault="1777E64B" w:rsidP="1777E64B">
          <w:pPr>
            <w:pStyle w:val="Header"/>
            <w:ind w:left="-115"/>
          </w:pPr>
        </w:p>
      </w:tc>
      <w:tc>
        <w:tcPr>
          <w:tcW w:w="3210" w:type="dxa"/>
        </w:tcPr>
        <w:p w14:paraId="06CA226A" w14:textId="17BD504D" w:rsidR="1777E64B" w:rsidRDefault="1777E64B" w:rsidP="1777E64B">
          <w:pPr>
            <w:pStyle w:val="Header"/>
            <w:jc w:val="center"/>
          </w:pPr>
        </w:p>
      </w:tc>
      <w:tc>
        <w:tcPr>
          <w:tcW w:w="3210" w:type="dxa"/>
        </w:tcPr>
        <w:p w14:paraId="25D40EC6" w14:textId="1CEB7DD4" w:rsidR="1777E64B" w:rsidRDefault="1777E64B" w:rsidP="1777E64B">
          <w:pPr>
            <w:pStyle w:val="Header"/>
            <w:ind w:right="-115"/>
            <w:jc w:val="right"/>
          </w:pPr>
        </w:p>
      </w:tc>
    </w:tr>
  </w:tbl>
  <w:p w14:paraId="75B5C3AA" w14:textId="36D312FF" w:rsidR="1777E64B" w:rsidRDefault="1777E64B" w:rsidP="1777E6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B4A2" w14:textId="436F50A1" w:rsidR="00F95953" w:rsidRDefault="00D96461" w:rsidP="00D96461">
    <w:pPr>
      <w:pStyle w:val="Header"/>
      <w:ind w:left="-1134"/>
    </w:pPr>
    <w:r>
      <w:rPr>
        <w:noProof/>
      </w:rPr>
      <w:drawing>
        <wp:inline distT="0" distB="0" distL="0" distR="0" wp14:anchorId="20750B9A" wp14:editId="7013C598">
          <wp:extent cx="7566837" cy="1892887"/>
          <wp:effectExtent l="0" t="0" r="0" b="0"/>
          <wp:docPr id="20" name="Picture 2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16718" cy="19303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7B6D"/>
    <w:multiLevelType w:val="hybridMultilevel"/>
    <w:tmpl w:val="61D2525E"/>
    <w:lvl w:ilvl="0" w:tplc="398E8706">
      <w:start w:val="1"/>
      <w:numFmt w:val="bullet"/>
      <w:pStyle w:val="Bulletedlist"/>
      <w:lvlText w:val=""/>
      <w:lvlJc w:val="left"/>
      <w:pPr>
        <w:tabs>
          <w:tab w:val="num" w:pos="230"/>
        </w:tabs>
        <w:ind w:left="230" w:hanging="230"/>
      </w:pPr>
      <w:rPr>
        <w:rFonts w:ascii="Wingdings" w:hAnsi="Wingdings" w:hint="default"/>
        <w:b w:val="0"/>
        <w:i w:val="0"/>
        <w:color w:val="595959"/>
        <w:position w:val="-8"/>
        <w:sz w:val="36"/>
        <w:lang w:val="en-G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F02760F"/>
    <w:multiLevelType w:val="hybridMultilevel"/>
    <w:tmpl w:val="CEEA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C426FA"/>
    <w:multiLevelType w:val="hybridMultilevel"/>
    <w:tmpl w:val="3ED0FC26"/>
    <w:lvl w:ilvl="0" w:tplc="B52018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5B3613"/>
    <w:multiLevelType w:val="hybridMultilevel"/>
    <w:tmpl w:val="650C07C6"/>
    <w:lvl w:ilvl="0" w:tplc="7326F49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DF5D06"/>
    <w:multiLevelType w:val="hybridMultilevel"/>
    <w:tmpl w:val="FFF64F08"/>
    <w:lvl w:ilvl="0" w:tplc="07FA606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4852213">
    <w:abstractNumId w:val="0"/>
  </w:num>
  <w:num w:numId="2" w16cid:durableId="1974212152">
    <w:abstractNumId w:val="4"/>
  </w:num>
  <w:num w:numId="3" w16cid:durableId="32654630">
    <w:abstractNumId w:val="1"/>
  </w:num>
  <w:num w:numId="4" w16cid:durableId="1527602784">
    <w:abstractNumId w:val="2"/>
  </w:num>
  <w:num w:numId="5" w16cid:durableId="2049530948">
    <w:abstractNumId w:val="1"/>
  </w:num>
  <w:num w:numId="6" w16cid:durableId="1422990836">
    <w:abstractNumId w:val="1"/>
  </w:num>
  <w:num w:numId="7" w16cid:durableId="1903905090">
    <w:abstractNumId w:val="0"/>
  </w:num>
  <w:num w:numId="8" w16cid:durableId="17612957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953"/>
    <w:rsid w:val="00002651"/>
    <w:rsid w:val="00015165"/>
    <w:rsid w:val="0002110E"/>
    <w:rsid w:val="0002301F"/>
    <w:rsid w:val="000407A5"/>
    <w:rsid w:val="00051779"/>
    <w:rsid w:val="00052F93"/>
    <w:rsid w:val="00055819"/>
    <w:rsid w:val="0007179C"/>
    <w:rsid w:val="0008088F"/>
    <w:rsid w:val="000851EB"/>
    <w:rsid w:val="000909E3"/>
    <w:rsid w:val="00095106"/>
    <w:rsid w:val="000A5C5D"/>
    <w:rsid w:val="000B30E6"/>
    <w:rsid w:val="000B441B"/>
    <w:rsid w:val="000D1DD2"/>
    <w:rsid w:val="000F2344"/>
    <w:rsid w:val="001017BB"/>
    <w:rsid w:val="00102740"/>
    <w:rsid w:val="00114230"/>
    <w:rsid w:val="00114887"/>
    <w:rsid w:val="00115EF1"/>
    <w:rsid w:val="001163F1"/>
    <w:rsid w:val="00153E44"/>
    <w:rsid w:val="001631A6"/>
    <w:rsid w:val="001654C9"/>
    <w:rsid w:val="00173974"/>
    <w:rsid w:val="001774EA"/>
    <w:rsid w:val="001B17DE"/>
    <w:rsid w:val="001D1F69"/>
    <w:rsid w:val="001D48CB"/>
    <w:rsid w:val="001D591B"/>
    <w:rsid w:val="001E2746"/>
    <w:rsid w:val="001F78FF"/>
    <w:rsid w:val="001F7E43"/>
    <w:rsid w:val="00202594"/>
    <w:rsid w:val="00213091"/>
    <w:rsid w:val="00220D3B"/>
    <w:rsid w:val="0024669D"/>
    <w:rsid w:val="002578B2"/>
    <w:rsid w:val="00263F67"/>
    <w:rsid w:val="00264A26"/>
    <w:rsid w:val="002666CE"/>
    <w:rsid w:val="00280851"/>
    <w:rsid w:val="002917CD"/>
    <w:rsid w:val="00294C36"/>
    <w:rsid w:val="002A79C6"/>
    <w:rsid w:val="002B2860"/>
    <w:rsid w:val="002C5E8D"/>
    <w:rsid w:val="002C7CC3"/>
    <w:rsid w:val="002D45A1"/>
    <w:rsid w:val="002D726C"/>
    <w:rsid w:val="002F0292"/>
    <w:rsid w:val="002F3F01"/>
    <w:rsid w:val="002F4EB5"/>
    <w:rsid w:val="002F7855"/>
    <w:rsid w:val="0030249C"/>
    <w:rsid w:val="00302E09"/>
    <w:rsid w:val="00303C0B"/>
    <w:rsid w:val="0031773C"/>
    <w:rsid w:val="003221A0"/>
    <w:rsid w:val="00340129"/>
    <w:rsid w:val="0034050A"/>
    <w:rsid w:val="00346D05"/>
    <w:rsid w:val="00381D91"/>
    <w:rsid w:val="00395D3D"/>
    <w:rsid w:val="00396113"/>
    <w:rsid w:val="003B4CEC"/>
    <w:rsid w:val="003B7A42"/>
    <w:rsid w:val="003E418F"/>
    <w:rsid w:val="003F3731"/>
    <w:rsid w:val="004127B4"/>
    <w:rsid w:val="00420E0E"/>
    <w:rsid w:val="00421551"/>
    <w:rsid w:val="00424E24"/>
    <w:rsid w:val="00441ABD"/>
    <w:rsid w:val="004517A7"/>
    <w:rsid w:val="0045745C"/>
    <w:rsid w:val="004626EE"/>
    <w:rsid w:val="00475EA2"/>
    <w:rsid w:val="004A2DF2"/>
    <w:rsid w:val="004A652B"/>
    <w:rsid w:val="004B56A9"/>
    <w:rsid w:val="004E246F"/>
    <w:rsid w:val="004E251C"/>
    <w:rsid w:val="004E7502"/>
    <w:rsid w:val="004F7A03"/>
    <w:rsid w:val="00504649"/>
    <w:rsid w:val="00520D4D"/>
    <w:rsid w:val="00520F66"/>
    <w:rsid w:val="00536A50"/>
    <w:rsid w:val="00542E62"/>
    <w:rsid w:val="005430D2"/>
    <w:rsid w:val="0054585E"/>
    <w:rsid w:val="005517CE"/>
    <w:rsid w:val="00563A3B"/>
    <w:rsid w:val="00573C8F"/>
    <w:rsid w:val="00577AB1"/>
    <w:rsid w:val="005807FA"/>
    <w:rsid w:val="005870B1"/>
    <w:rsid w:val="005A5F19"/>
    <w:rsid w:val="005A7BE2"/>
    <w:rsid w:val="005B4D93"/>
    <w:rsid w:val="005C7328"/>
    <w:rsid w:val="006008C4"/>
    <w:rsid w:val="00612DC8"/>
    <w:rsid w:val="00630523"/>
    <w:rsid w:val="00647084"/>
    <w:rsid w:val="00662DDA"/>
    <w:rsid w:val="00681491"/>
    <w:rsid w:val="0068553F"/>
    <w:rsid w:val="006A01A6"/>
    <w:rsid w:val="006A0E30"/>
    <w:rsid w:val="006A1A13"/>
    <w:rsid w:val="006C0938"/>
    <w:rsid w:val="006C1B8A"/>
    <w:rsid w:val="006E0A8B"/>
    <w:rsid w:val="006E0F7A"/>
    <w:rsid w:val="006E140E"/>
    <w:rsid w:val="006F394F"/>
    <w:rsid w:val="006F4D3A"/>
    <w:rsid w:val="00722D93"/>
    <w:rsid w:val="00736D4E"/>
    <w:rsid w:val="007418CA"/>
    <w:rsid w:val="00751432"/>
    <w:rsid w:val="007578A6"/>
    <w:rsid w:val="007657A9"/>
    <w:rsid w:val="00767FC8"/>
    <w:rsid w:val="00770432"/>
    <w:rsid w:val="007762C9"/>
    <w:rsid w:val="00776A70"/>
    <w:rsid w:val="007936DE"/>
    <w:rsid w:val="007953B9"/>
    <w:rsid w:val="00797F1B"/>
    <w:rsid w:val="007A348F"/>
    <w:rsid w:val="007A60A6"/>
    <w:rsid w:val="007C00CF"/>
    <w:rsid w:val="007C67A5"/>
    <w:rsid w:val="007C709F"/>
    <w:rsid w:val="007D3A15"/>
    <w:rsid w:val="007D564B"/>
    <w:rsid w:val="007D7194"/>
    <w:rsid w:val="0081298B"/>
    <w:rsid w:val="008160A0"/>
    <w:rsid w:val="008336A1"/>
    <w:rsid w:val="0083375F"/>
    <w:rsid w:val="0083725C"/>
    <w:rsid w:val="00837470"/>
    <w:rsid w:val="00855AC3"/>
    <w:rsid w:val="00860FE7"/>
    <w:rsid w:val="0087162B"/>
    <w:rsid w:val="0088364E"/>
    <w:rsid w:val="00883DE8"/>
    <w:rsid w:val="00895C29"/>
    <w:rsid w:val="008A13E5"/>
    <w:rsid w:val="008A4CC2"/>
    <w:rsid w:val="008B5653"/>
    <w:rsid w:val="008C0BFE"/>
    <w:rsid w:val="008C7055"/>
    <w:rsid w:val="008C7A30"/>
    <w:rsid w:val="008D3F36"/>
    <w:rsid w:val="008F261D"/>
    <w:rsid w:val="009147A6"/>
    <w:rsid w:val="009203C8"/>
    <w:rsid w:val="0092206F"/>
    <w:rsid w:val="00923690"/>
    <w:rsid w:val="00923F8B"/>
    <w:rsid w:val="00933CEC"/>
    <w:rsid w:val="00944759"/>
    <w:rsid w:val="00946D39"/>
    <w:rsid w:val="009507AD"/>
    <w:rsid w:val="00950C23"/>
    <w:rsid w:val="00952499"/>
    <w:rsid w:val="00967B01"/>
    <w:rsid w:val="00972C19"/>
    <w:rsid w:val="00974F1E"/>
    <w:rsid w:val="0098726C"/>
    <w:rsid w:val="009930C8"/>
    <w:rsid w:val="009A5AFF"/>
    <w:rsid w:val="009B1F52"/>
    <w:rsid w:val="009B4A7B"/>
    <w:rsid w:val="009B7424"/>
    <w:rsid w:val="009B7C58"/>
    <w:rsid w:val="009D333A"/>
    <w:rsid w:val="009F1F5D"/>
    <w:rsid w:val="00A10DA7"/>
    <w:rsid w:val="00A141E7"/>
    <w:rsid w:val="00A21A41"/>
    <w:rsid w:val="00A447ED"/>
    <w:rsid w:val="00A46036"/>
    <w:rsid w:val="00A747C2"/>
    <w:rsid w:val="00A95516"/>
    <w:rsid w:val="00AA64EE"/>
    <w:rsid w:val="00AA68BC"/>
    <w:rsid w:val="00AB35E7"/>
    <w:rsid w:val="00AB47D8"/>
    <w:rsid w:val="00AC24C9"/>
    <w:rsid w:val="00AF1CD7"/>
    <w:rsid w:val="00AF3B17"/>
    <w:rsid w:val="00B01820"/>
    <w:rsid w:val="00B12620"/>
    <w:rsid w:val="00B166A0"/>
    <w:rsid w:val="00B339AA"/>
    <w:rsid w:val="00B520CC"/>
    <w:rsid w:val="00B5713C"/>
    <w:rsid w:val="00B60455"/>
    <w:rsid w:val="00B616F5"/>
    <w:rsid w:val="00B627CE"/>
    <w:rsid w:val="00B72C47"/>
    <w:rsid w:val="00B77A5B"/>
    <w:rsid w:val="00B94FCC"/>
    <w:rsid w:val="00BD0CA3"/>
    <w:rsid w:val="00BD22C7"/>
    <w:rsid w:val="00C04EA6"/>
    <w:rsid w:val="00C057D9"/>
    <w:rsid w:val="00C270C3"/>
    <w:rsid w:val="00C867FE"/>
    <w:rsid w:val="00C904E9"/>
    <w:rsid w:val="00C9050D"/>
    <w:rsid w:val="00C91582"/>
    <w:rsid w:val="00C959EA"/>
    <w:rsid w:val="00CA1919"/>
    <w:rsid w:val="00CA2D21"/>
    <w:rsid w:val="00CA7669"/>
    <w:rsid w:val="00CB69CD"/>
    <w:rsid w:val="00D26349"/>
    <w:rsid w:val="00D345BC"/>
    <w:rsid w:val="00D45871"/>
    <w:rsid w:val="00D64BB3"/>
    <w:rsid w:val="00D72D75"/>
    <w:rsid w:val="00D836A4"/>
    <w:rsid w:val="00D96461"/>
    <w:rsid w:val="00D9780F"/>
    <w:rsid w:val="00DA2ADC"/>
    <w:rsid w:val="00DB3AF1"/>
    <w:rsid w:val="00DC2570"/>
    <w:rsid w:val="00DC5748"/>
    <w:rsid w:val="00DC5D88"/>
    <w:rsid w:val="00DF1A8A"/>
    <w:rsid w:val="00DF1DCE"/>
    <w:rsid w:val="00E01D57"/>
    <w:rsid w:val="00E070FB"/>
    <w:rsid w:val="00E13FF4"/>
    <w:rsid w:val="00E16016"/>
    <w:rsid w:val="00E209CD"/>
    <w:rsid w:val="00E23D32"/>
    <w:rsid w:val="00E34E23"/>
    <w:rsid w:val="00E35331"/>
    <w:rsid w:val="00E4234C"/>
    <w:rsid w:val="00E47ECC"/>
    <w:rsid w:val="00E57C4B"/>
    <w:rsid w:val="00E742E1"/>
    <w:rsid w:val="00E75D3C"/>
    <w:rsid w:val="00E91778"/>
    <w:rsid w:val="00EA7763"/>
    <w:rsid w:val="00EB7051"/>
    <w:rsid w:val="00EE0AB1"/>
    <w:rsid w:val="00EF17E7"/>
    <w:rsid w:val="00F0300E"/>
    <w:rsid w:val="00F33879"/>
    <w:rsid w:val="00F351C9"/>
    <w:rsid w:val="00F46BA6"/>
    <w:rsid w:val="00F66F04"/>
    <w:rsid w:val="00F95953"/>
    <w:rsid w:val="00FC7689"/>
    <w:rsid w:val="00FD04C5"/>
    <w:rsid w:val="00FD1FFD"/>
    <w:rsid w:val="00FD5C65"/>
    <w:rsid w:val="00FE044D"/>
    <w:rsid w:val="00FE26FD"/>
    <w:rsid w:val="00FE28BA"/>
    <w:rsid w:val="00FE42E1"/>
    <w:rsid w:val="00FE4C97"/>
    <w:rsid w:val="00FE7BC6"/>
    <w:rsid w:val="00FF21C3"/>
    <w:rsid w:val="1777E64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192D4"/>
  <w15:chartTrackingRefBased/>
  <w15:docId w15:val="{844B1F70-174A-45C1-9B2D-094C67AE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lease text"/>
    <w:qFormat/>
    <w:rsid w:val="00883DE8"/>
    <w:pPr>
      <w:spacing w:line="312" w:lineRule="auto"/>
    </w:pPr>
    <w:rPr>
      <w:rFonts w:ascii="Arial" w:hAnsi="Arial"/>
      <w:color w:val="404040"/>
    </w:rPr>
  </w:style>
  <w:style w:type="paragraph" w:styleId="Heading1">
    <w:name w:val="heading 1"/>
    <w:aliases w:val="Release title"/>
    <w:basedOn w:val="Normal"/>
    <w:next w:val="Normal"/>
    <w:link w:val="Heading1Char"/>
    <w:uiPriority w:val="9"/>
    <w:qFormat/>
    <w:rsid w:val="00FE28BA"/>
    <w:pPr>
      <w:keepNext/>
      <w:keepLines/>
      <w:spacing w:before="240" w:after="0"/>
      <w:outlineLvl w:val="0"/>
    </w:pPr>
    <w:rPr>
      <w:rFonts w:eastAsiaTheme="majorEastAsia" w:cstheme="majorBidi"/>
      <w:b/>
      <w:color w:val="DD1D21"/>
      <w:sz w:val="28"/>
      <w:szCs w:val="32"/>
    </w:rPr>
  </w:style>
  <w:style w:type="paragraph" w:styleId="Heading2">
    <w:name w:val="heading 2"/>
    <w:aliases w:val="Paragraph heading"/>
    <w:basedOn w:val="Normal"/>
    <w:next w:val="Normal"/>
    <w:link w:val="Heading2Char"/>
    <w:uiPriority w:val="9"/>
    <w:unhideWhenUsed/>
    <w:qFormat/>
    <w:rsid w:val="00FE28BA"/>
    <w:pPr>
      <w:keepNext/>
      <w:keepLines/>
      <w:spacing w:before="240" w:after="120"/>
      <w:outlineLvl w:val="1"/>
    </w:pPr>
    <w:rPr>
      <w:rFonts w:eastAsiaTheme="majorEastAsia" w:cstheme="majorBidi"/>
      <w:b/>
      <w:sz w:val="24"/>
      <w:szCs w:val="26"/>
    </w:rPr>
  </w:style>
  <w:style w:type="paragraph" w:styleId="Heading3">
    <w:name w:val="heading 3"/>
    <w:aliases w:val="Heading"/>
    <w:basedOn w:val="Normal"/>
    <w:next w:val="Normal"/>
    <w:link w:val="Heading3Char"/>
    <w:uiPriority w:val="9"/>
    <w:unhideWhenUsed/>
    <w:qFormat/>
    <w:rsid w:val="00E070FB"/>
    <w:pPr>
      <w:keepNext/>
      <w:keepLines/>
      <w:spacing w:before="40" w:after="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9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953"/>
  </w:style>
  <w:style w:type="paragraph" w:styleId="Footer">
    <w:name w:val="footer"/>
    <w:basedOn w:val="Normal"/>
    <w:link w:val="FooterChar"/>
    <w:uiPriority w:val="99"/>
    <w:unhideWhenUsed/>
    <w:rsid w:val="00F959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953"/>
  </w:style>
  <w:style w:type="paragraph" w:styleId="ListParagraph">
    <w:name w:val="List Paragraph"/>
    <w:basedOn w:val="Normal"/>
    <w:uiPriority w:val="34"/>
    <w:qFormat/>
    <w:rsid w:val="00F95953"/>
    <w:pPr>
      <w:spacing w:after="200" w:line="276" w:lineRule="auto"/>
      <w:ind w:left="720"/>
      <w:contextualSpacing/>
    </w:pPr>
    <w:rPr>
      <w:rFonts w:eastAsia="Calibri" w:cs="Times New Roman"/>
      <w:lang w:val="en-US"/>
    </w:rPr>
  </w:style>
  <w:style w:type="paragraph" w:styleId="NoSpacing">
    <w:name w:val="No Spacing"/>
    <w:uiPriority w:val="1"/>
    <w:rsid w:val="00F95953"/>
    <w:pPr>
      <w:spacing w:after="0" w:line="240" w:lineRule="auto"/>
    </w:pPr>
    <w:rPr>
      <w:rFonts w:ascii="Calibri" w:eastAsia="Calibri" w:hAnsi="Calibri" w:cs="Times New Roman"/>
    </w:rPr>
  </w:style>
  <w:style w:type="paragraph" w:styleId="CommentText">
    <w:name w:val="annotation text"/>
    <w:basedOn w:val="Normal"/>
    <w:link w:val="CommentTextChar"/>
    <w:uiPriority w:val="99"/>
    <w:unhideWhenUsed/>
    <w:rsid w:val="00F95953"/>
    <w:pPr>
      <w:spacing w:line="240" w:lineRule="auto"/>
    </w:pPr>
    <w:rPr>
      <w:sz w:val="20"/>
      <w:szCs w:val="20"/>
    </w:rPr>
  </w:style>
  <w:style w:type="character" w:customStyle="1" w:styleId="CommentTextChar">
    <w:name w:val="Comment Text Char"/>
    <w:basedOn w:val="DefaultParagraphFont"/>
    <w:link w:val="CommentText"/>
    <w:uiPriority w:val="99"/>
    <w:rsid w:val="00F95953"/>
    <w:rPr>
      <w:sz w:val="20"/>
      <w:szCs w:val="20"/>
    </w:rPr>
  </w:style>
  <w:style w:type="paragraph" w:styleId="CommentSubject">
    <w:name w:val="annotation subject"/>
    <w:basedOn w:val="CommentText"/>
    <w:next w:val="CommentText"/>
    <w:link w:val="CommentSubjectChar"/>
    <w:uiPriority w:val="99"/>
    <w:semiHidden/>
    <w:unhideWhenUsed/>
    <w:rsid w:val="00F95953"/>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F95953"/>
    <w:rPr>
      <w:rFonts w:ascii="Calibri" w:eastAsia="Calibri" w:hAnsi="Calibri" w:cs="Times New Roman"/>
      <w:b/>
      <w:bCs/>
      <w:sz w:val="20"/>
      <w:szCs w:val="20"/>
    </w:rPr>
  </w:style>
  <w:style w:type="character" w:customStyle="1" w:styleId="Heading1Char">
    <w:name w:val="Heading 1 Char"/>
    <w:aliases w:val="Release title Char"/>
    <w:basedOn w:val="DefaultParagraphFont"/>
    <w:link w:val="Heading1"/>
    <w:uiPriority w:val="9"/>
    <w:rsid w:val="00FE28BA"/>
    <w:rPr>
      <w:rFonts w:ascii="Arial" w:eastAsiaTheme="majorEastAsia" w:hAnsi="Arial" w:cstheme="majorBidi"/>
      <w:b/>
      <w:color w:val="DD1D21"/>
      <w:sz w:val="28"/>
      <w:szCs w:val="32"/>
    </w:rPr>
  </w:style>
  <w:style w:type="character" w:customStyle="1" w:styleId="Heading2Char">
    <w:name w:val="Heading 2 Char"/>
    <w:aliases w:val="Paragraph heading Char"/>
    <w:basedOn w:val="DefaultParagraphFont"/>
    <w:link w:val="Heading2"/>
    <w:uiPriority w:val="9"/>
    <w:rsid w:val="00FE28BA"/>
    <w:rPr>
      <w:rFonts w:ascii="Arial" w:eastAsiaTheme="majorEastAsia" w:hAnsi="Arial" w:cstheme="majorBidi"/>
      <w:b/>
      <w:color w:val="404040"/>
      <w:sz w:val="24"/>
      <w:szCs w:val="26"/>
    </w:rPr>
  </w:style>
  <w:style w:type="table" w:styleId="TableGrid">
    <w:name w:val="Table Grid"/>
    <w:basedOn w:val="TableNormal"/>
    <w:uiPriority w:val="59"/>
    <w:rsid w:val="00FE2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eading Char"/>
    <w:basedOn w:val="DefaultParagraphFont"/>
    <w:link w:val="Heading3"/>
    <w:uiPriority w:val="9"/>
    <w:rsid w:val="00E070FB"/>
    <w:rPr>
      <w:rFonts w:ascii="Arial" w:eastAsiaTheme="majorEastAsia" w:hAnsi="Arial" w:cstheme="majorBidi"/>
      <w:b/>
      <w:color w:val="404040"/>
      <w:sz w:val="28"/>
      <w:szCs w:val="24"/>
    </w:rPr>
  </w:style>
  <w:style w:type="paragraph" w:customStyle="1" w:styleId="Bulletedlist">
    <w:name w:val="Bulleted list"/>
    <w:basedOn w:val="Normal"/>
    <w:qFormat/>
    <w:rsid w:val="00E070FB"/>
    <w:pPr>
      <w:keepNext/>
      <w:keepLines/>
      <w:numPr>
        <w:numId w:val="1"/>
      </w:numPr>
      <w:suppressLineNumbers/>
      <w:tabs>
        <w:tab w:val="left" w:pos="1361"/>
      </w:tabs>
      <w:spacing w:after="0" w:line="320" w:lineRule="exact"/>
    </w:pPr>
    <w:rPr>
      <w:rFonts w:cs="Arial"/>
      <w:shd w:val="clear" w:color="auto" w:fill="FFFFFF"/>
      <w:lang w:val="en-US"/>
    </w:rPr>
  </w:style>
  <w:style w:type="paragraph" w:customStyle="1" w:styleId="Cautionarynote">
    <w:name w:val="Cautionary note"/>
    <w:basedOn w:val="Normal"/>
    <w:qFormat/>
    <w:rsid w:val="00E070FB"/>
    <w:rPr>
      <w:sz w:val="18"/>
      <w:szCs w:val="18"/>
    </w:rPr>
  </w:style>
  <w:style w:type="character" w:styleId="Hyperlink">
    <w:name w:val="Hyperlink"/>
    <w:basedOn w:val="DefaultParagraphFont"/>
    <w:semiHidden/>
    <w:rsid w:val="00B339AA"/>
    <w:rPr>
      <w:color w:val="0000FF"/>
      <w:u w:val="single"/>
    </w:rPr>
  </w:style>
  <w:style w:type="character" w:styleId="CommentReference">
    <w:name w:val="annotation reference"/>
    <w:basedOn w:val="DefaultParagraphFont"/>
    <w:uiPriority w:val="99"/>
    <w:semiHidden/>
    <w:unhideWhenUsed/>
    <w:rsid w:val="00B339AA"/>
    <w:rPr>
      <w:sz w:val="16"/>
      <w:szCs w:val="16"/>
    </w:rPr>
  </w:style>
  <w:style w:type="paragraph" w:styleId="BalloonText">
    <w:name w:val="Balloon Text"/>
    <w:basedOn w:val="Normal"/>
    <w:link w:val="BalloonTextChar"/>
    <w:uiPriority w:val="99"/>
    <w:semiHidden/>
    <w:unhideWhenUsed/>
    <w:rsid w:val="005046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649"/>
    <w:rPr>
      <w:rFonts w:ascii="Segoe UI" w:hAnsi="Segoe UI" w:cs="Segoe UI"/>
      <w:color w:val="404040"/>
      <w:sz w:val="18"/>
      <w:szCs w:val="18"/>
    </w:rPr>
  </w:style>
  <w:style w:type="paragraph" w:styleId="Revision">
    <w:name w:val="Revision"/>
    <w:hidden/>
    <w:uiPriority w:val="99"/>
    <w:semiHidden/>
    <w:rsid w:val="00381D91"/>
    <w:pPr>
      <w:spacing w:after="0" w:line="240" w:lineRule="auto"/>
    </w:pPr>
    <w:rPr>
      <w:rFonts w:ascii="Arial" w:hAnsi="Arial"/>
      <w:color w:val="404040"/>
    </w:rPr>
  </w:style>
  <w:style w:type="character" w:styleId="UnresolvedMention">
    <w:name w:val="Unresolved Mention"/>
    <w:basedOn w:val="DefaultParagraphFont"/>
    <w:uiPriority w:val="99"/>
    <w:semiHidden/>
    <w:unhideWhenUsed/>
    <w:rsid w:val="00542E62"/>
    <w:rPr>
      <w:color w:val="605E5C"/>
      <w:shd w:val="clear" w:color="auto" w:fill="E1DFDD"/>
    </w:rPr>
  </w:style>
  <w:style w:type="character" w:customStyle="1" w:styleId="normaltextrun">
    <w:name w:val="normaltextrun"/>
    <w:basedOn w:val="DefaultParagraphFont"/>
    <w:rsid w:val="00FE26FD"/>
  </w:style>
  <w:style w:type="character" w:customStyle="1" w:styleId="eop">
    <w:name w:val="eop"/>
    <w:basedOn w:val="DefaultParagraphFont"/>
    <w:rsid w:val="00FE26FD"/>
  </w:style>
  <w:style w:type="character" w:styleId="FollowedHyperlink">
    <w:name w:val="FollowedHyperlink"/>
    <w:basedOn w:val="DefaultParagraphFont"/>
    <w:uiPriority w:val="99"/>
    <w:semiHidden/>
    <w:unhideWhenUsed/>
    <w:rsid w:val="00573C8F"/>
    <w:rPr>
      <w:color w:val="954F72" w:themeColor="followedHyperlink"/>
      <w:u w:val="single"/>
    </w:rPr>
  </w:style>
  <w:style w:type="paragraph" w:styleId="NormalWeb">
    <w:name w:val="Normal (Web)"/>
    <w:basedOn w:val="Normal"/>
    <w:uiPriority w:val="99"/>
    <w:semiHidden/>
    <w:unhideWhenUsed/>
    <w:rsid w:val="00573C8F"/>
    <w:pPr>
      <w:spacing w:before="100" w:beforeAutospacing="1" w:after="100" w:afterAutospacing="1" w:line="240" w:lineRule="auto"/>
    </w:pPr>
    <w:rPr>
      <w:rFonts w:ascii="Times New Roman" w:eastAsia="Times New Roman" w:hAnsi="Times New Roman" w:cs="Times New Roman"/>
      <w:color w:val="auto"/>
      <w:sz w:val="24"/>
      <w:szCs w:val="24"/>
      <w:lang w:val="en-US" w:eastAsia="zh-CN"/>
    </w:rPr>
  </w:style>
  <w:style w:type="character" w:styleId="Emphasis">
    <w:name w:val="Emphasis"/>
    <w:basedOn w:val="DefaultParagraphFont"/>
    <w:uiPriority w:val="20"/>
    <w:qFormat/>
    <w:rsid w:val="007D3A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5701">
      <w:bodyDiv w:val="1"/>
      <w:marLeft w:val="0"/>
      <w:marRight w:val="0"/>
      <w:marTop w:val="0"/>
      <w:marBottom w:val="0"/>
      <w:divBdr>
        <w:top w:val="none" w:sz="0" w:space="0" w:color="auto"/>
        <w:left w:val="none" w:sz="0" w:space="0" w:color="auto"/>
        <w:bottom w:val="none" w:sz="0" w:space="0" w:color="auto"/>
        <w:right w:val="none" w:sz="0" w:space="0" w:color="auto"/>
      </w:divBdr>
    </w:div>
    <w:div w:id="399521113">
      <w:bodyDiv w:val="1"/>
      <w:marLeft w:val="0"/>
      <w:marRight w:val="0"/>
      <w:marTop w:val="0"/>
      <w:marBottom w:val="0"/>
      <w:divBdr>
        <w:top w:val="none" w:sz="0" w:space="0" w:color="auto"/>
        <w:left w:val="none" w:sz="0" w:space="0" w:color="auto"/>
        <w:bottom w:val="none" w:sz="0" w:space="0" w:color="auto"/>
        <w:right w:val="none" w:sz="0" w:space="0" w:color="auto"/>
      </w:divBdr>
    </w:div>
    <w:div w:id="455180125">
      <w:bodyDiv w:val="1"/>
      <w:marLeft w:val="0"/>
      <w:marRight w:val="0"/>
      <w:marTop w:val="0"/>
      <w:marBottom w:val="0"/>
      <w:divBdr>
        <w:top w:val="none" w:sz="0" w:space="0" w:color="auto"/>
        <w:left w:val="none" w:sz="0" w:space="0" w:color="auto"/>
        <w:bottom w:val="none" w:sz="0" w:space="0" w:color="auto"/>
        <w:right w:val="none" w:sz="0" w:space="0" w:color="auto"/>
      </w:divBdr>
    </w:div>
    <w:div w:id="688876108">
      <w:bodyDiv w:val="1"/>
      <w:marLeft w:val="0"/>
      <w:marRight w:val="0"/>
      <w:marTop w:val="0"/>
      <w:marBottom w:val="0"/>
      <w:divBdr>
        <w:top w:val="none" w:sz="0" w:space="0" w:color="auto"/>
        <w:left w:val="none" w:sz="0" w:space="0" w:color="auto"/>
        <w:bottom w:val="none" w:sz="0" w:space="0" w:color="auto"/>
        <w:right w:val="none" w:sz="0" w:space="0" w:color="auto"/>
      </w:divBdr>
    </w:div>
    <w:div w:id="700934408">
      <w:bodyDiv w:val="1"/>
      <w:marLeft w:val="0"/>
      <w:marRight w:val="0"/>
      <w:marTop w:val="0"/>
      <w:marBottom w:val="0"/>
      <w:divBdr>
        <w:top w:val="none" w:sz="0" w:space="0" w:color="auto"/>
        <w:left w:val="none" w:sz="0" w:space="0" w:color="auto"/>
        <w:bottom w:val="none" w:sz="0" w:space="0" w:color="auto"/>
        <w:right w:val="none" w:sz="0" w:space="0" w:color="auto"/>
      </w:divBdr>
    </w:div>
    <w:div w:id="720908461">
      <w:bodyDiv w:val="1"/>
      <w:marLeft w:val="0"/>
      <w:marRight w:val="0"/>
      <w:marTop w:val="0"/>
      <w:marBottom w:val="0"/>
      <w:divBdr>
        <w:top w:val="none" w:sz="0" w:space="0" w:color="auto"/>
        <w:left w:val="none" w:sz="0" w:space="0" w:color="auto"/>
        <w:bottom w:val="none" w:sz="0" w:space="0" w:color="auto"/>
        <w:right w:val="none" w:sz="0" w:space="0" w:color="auto"/>
      </w:divBdr>
    </w:div>
    <w:div w:id="904216666">
      <w:bodyDiv w:val="1"/>
      <w:marLeft w:val="0"/>
      <w:marRight w:val="0"/>
      <w:marTop w:val="0"/>
      <w:marBottom w:val="0"/>
      <w:divBdr>
        <w:top w:val="none" w:sz="0" w:space="0" w:color="auto"/>
        <w:left w:val="none" w:sz="0" w:space="0" w:color="auto"/>
        <w:bottom w:val="none" w:sz="0" w:space="0" w:color="auto"/>
        <w:right w:val="none" w:sz="0" w:space="0" w:color="auto"/>
      </w:divBdr>
    </w:div>
    <w:div w:id="979111753">
      <w:bodyDiv w:val="1"/>
      <w:marLeft w:val="0"/>
      <w:marRight w:val="0"/>
      <w:marTop w:val="0"/>
      <w:marBottom w:val="0"/>
      <w:divBdr>
        <w:top w:val="none" w:sz="0" w:space="0" w:color="auto"/>
        <w:left w:val="none" w:sz="0" w:space="0" w:color="auto"/>
        <w:bottom w:val="none" w:sz="0" w:space="0" w:color="auto"/>
        <w:right w:val="none" w:sz="0" w:space="0" w:color="auto"/>
      </w:divBdr>
    </w:div>
    <w:div w:id="1065378435">
      <w:bodyDiv w:val="1"/>
      <w:marLeft w:val="0"/>
      <w:marRight w:val="0"/>
      <w:marTop w:val="0"/>
      <w:marBottom w:val="0"/>
      <w:divBdr>
        <w:top w:val="none" w:sz="0" w:space="0" w:color="auto"/>
        <w:left w:val="none" w:sz="0" w:space="0" w:color="auto"/>
        <w:bottom w:val="none" w:sz="0" w:space="0" w:color="auto"/>
        <w:right w:val="none" w:sz="0" w:space="0" w:color="auto"/>
      </w:divBdr>
    </w:div>
    <w:div w:id="1276249628">
      <w:bodyDiv w:val="1"/>
      <w:marLeft w:val="0"/>
      <w:marRight w:val="0"/>
      <w:marTop w:val="0"/>
      <w:marBottom w:val="0"/>
      <w:divBdr>
        <w:top w:val="none" w:sz="0" w:space="0" w:color="auto"/>
        <w:left w:val="none" w:sz="0" w:space="0" w:color="auto"/>
        <w:bottom w:val="none" w:sz="0" w:space="0" w:color="auto"/>
        <w:right w:val="none" w:sz="0" w:space="0" w:color="auto"/>
      </w:divBdr>
    </w:div>
    <w:div w:id="1759207933">
      <w:bodyDiv w:val="1"/>
      <w:marLeft w:val="0"/>
      <w:marRight w:val="0"/>
      <w:marTop w:val="0"/>
      <w:marBottom w:val="0"/>
      <w:divBdr>
        <w:top w:val="none" w:sz="0" w:space="0" w:color="auto"/>
        <w:left w:val="none" w:sz="0" w:space="0" w:color="auto"/>
        <w:bottom w:val="none" w:sz="0" w:space="0" w:color="auto"/>
        <w:right w:val="none" w:sz="0" w:space="0" w:color="auto"/>
      </w:divBdr>
      <w:divsChild>
        <w:div w:id="2117209478">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hyperlink" Target="https://www.sec.gov/" TargetMode="External" /><Relationship Id="rId18"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styles" Target="styles.xml" /><Relationship Id="rId12" Type="http://schemas.openxmlformats.org/officeDocument/2006/relationships/hyperlink" Target="https://www.shell.com/investors.html" TargetMode="External" /><Relationship Id="rId17" Type="http://schemas.openxmlformats.org/officeDocument/2006/relationships/footer" Target="footer2.xml" /><Relationship Id="rId2" Type="http://schemas.openxmlformats.org/officeDocument/2006/relationships/customXml" Target="../customXml/item2.xml" /><Relationship Id="rId16" Type="http://schemas.openxmlformats.org/officeDocument/2006/relationships/header" Target="header2.xml" /><Relationship Id="rId1" Type="http://schemas.openxmlformats.org/officeDocument/2006/relationships/customXml" Target="../customXml/item1.xml" /><Relationship Id="rId6" Type="http://schemas.openxmlformats.org/officeDocument/2006/relationships/numbering" Target="numbering.xml" /><Relationship Id="rId11" Type="http://schemas.openxmlformats.org/officeDocument/2006/relationships/endnotes" Target="endnotes.xml" /><Relationship Id="rId5" Type="http://schemas.openxmlformats.org/officeDocument/2006/relationships/customXml" Target="../customXml/item5.xml" /><Relationship Id="rId15" Type="http://schemas.openxmlformats.org/officeDocument/2006/relationships/footer" Target="footer1.xml" /><Relationship Id="rId10" Type="http://schemas.openxmlformats.org/officeDocument/2006/relationships/footnotes" Target="footnotes.xml" /><Relationship Id="rId19" Type="http://schemas.openxmlformats.org/officeDocument/2006/relationships/theme" Target="theme/theme1.xml" /><Relationship Id="rId4" Type="http://schemas.openxmlformats.org/officeDocument/2006/relationships/customXml" Target="../customXml/item4.xml" /><Relationship Id="rId9" Type="http://schemas.openxmlformats.org/officeDocument/2006/relationships/webSettings" Target="webSettings.xml" /><Relationship Id="rId14" Type="http://schemas.openxmlformats.org/officeDocument/2006/relationships/header" Target="header1.xml"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5f84a50-7a4c-49d1-b917-f4aa6dcee46a">
      <Value>1</Value>
    </TaxCatchAll>
    <ice2f7984e9548f9a31773f854109466 xmlns="25f84a50-7a4c-49d1-b917-f4aa6dcee46a">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21aa7f98-4035-4019-a764-107acb7269af</TermId>
        </TermInfo>
      </Terms>
    </ice2f7984e9548f9a31773f854109466>
    <_dlc_DocId xmlns="25f84a50-7a4c-49d1-b917-f4aa6dcee46a">HEMMYZUQ3Z7Y-354444631-5341</_dlc_DocId>
    <_dlc_DocIdUrl xmlns="25f84a50-7a4c-49d1-b917-f4aa6dcee46a">
      <Url>https://eu001-sp.shell.com/sites/SPO000039/_layouts/15/DocIdRedir.aspx?ID=HEMMYZUQ3Z7Y-354444631-5341</Url>
      <Description>HEMMYZUQ3Z7Y-354444631-5341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4616AE861D0664796931759A8118E36" ma:contentTypeVersion="3" ma:contentTypeDescription="Create a new document." ma:contentTypeScope="" ma:versionID="fb43d93ce180edef289660306ba465ae">
  <xsd:schema xmlns:xsd="http://www.w3.org/2001/XMLSchema" xmlns:xs="http://www.w3.org/2001/XMLSchema" xmlns:p="http://schemas.microsoft.com/office/2006/metadata/properties" xmlns:ns2="25f84a50-7a4c-49d1-b917-f4aa6dcee46a" targetNamespace="http://schemas.microsoft.com/office/2006/metadata/properties" ma:root="true" ma:fieldsID="841e1737d887069330c5e788667071db" ns2:_="">
    <xsd:import namespace="25f84a50-7a4c-49d1-b917-f4aa6dcee46a"/>
    <xsd:element name="properties">
      <xsd:complexType>
        <xsd:sequence>
          <xsd:element name="documentManagement">
            <xsd:complexType>
              <xsd:all>
                <xsd:element ref="ns2:_dlc_DocId" minOccurs="0"/>
                <xsd:element ref="ns2:_dlc_DocIdUrl" minOccurs="0"/>
                <xsd:element ref="ns2:_dlc_DocIdPersistId" minOccurs="0"/>
                <xsd:element ref="ns2:ice2f7984e9548f9a31773f854109466"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84a50-7a4c-49d1-b917-f4aa6dcee46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ce2f7984e9548f9a31773f854109466" ma:index="11" ma:taxonomy="true" ma:internalName="ice2f7984e9548f9a31773f854109466" ma:taxonomyFieldName="SAEFSecurityClassification" ma:displayName="Security Classification" ma:readOnly="false" ma:default="1;#Restricted|21aa7f98-4035-4019-a764-107acb7269af" ma:fieldId="{2ce2f798-4e95-48f9-a317-73f854109466}" ma:sspId="e3aebf70-341c-4d91-bdd3-aba9df361687" ma:termSetId="daf890f0-167e-4ee2-a9fd-a81536ed816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e9e7837-1729-4572-bff7-3439a58e90f4}" ma:internalName="TaxCatchAll" ma:showField="CatchAllData" ma:web="25f84a50-7a4c-49d1-b917-f4aa6dcee46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e9e7837-1729-4572-bff7-3439a58e90f4}" ma:internalName="TaxCatchAllLabel" ma:readOnly="true" ma:showField="CatchAllDataLabel" ma:web="25f84a50-7a4c-49d1-b917-f4aa6dcee4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AC8B0B-261A-4AD6-AECD-AA82C50D4368}">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5995C348-3C84-4202-B3FE-BD3BE388CD3C}">
  <ds:schemaRefs>
    <ds:schemaRef ds:uri="http://schemas.microsoft.com/sharepoint/events"/>
    <ds:schemaRef ds:uri="http://www.w3.org/2000/xmlns/"/>
  </ds:schemaRefs>
</ds:datastoreItem>
</file>

<file path=customXml/itemProps3.xml><?xml version="1.0" encoding="utf-8"?>
<ds:datastoreItem xmlns:ds="http://schemas.openxmlformats.org/officeDocument/2006/customXml" ds:itemID="{5D59D1BD-7B5F-481C-8E92-089F4D209BF9}">
  <ds:schemaRefs>
    <ds:schemaRef ds:uri="http://schemas.microsoft.com/sharepoint/v3/contenttype/forms"/>
  </ds:schemaRefs>
</ds:datastoreItem>
</file>

<file path=customXml/itemProps4.xml><?xml version="1.0" encoding="utf-8"?>
<ds:datastoreItem xmlns:ds="http://schemas.openxmlformats.org/officeDocument/2006/customXml" ds:itemID="{38E1A27A-DA4F-4B3C-9AE3-C6A365681DCC}">
  <ds:schemaRefs>
    <ds:schemaRef ds:uri="http://schemas.microsoft.com/office/2006/metadata/properties"/>
    <ds:schemaRef ds:uri="http://www.w3.org/2000/xmlns/"/>
    <ds:schemaRef ds:uri="25f84a50-7a4c-49d1-b917-f4aa6dcee46a"/>
    <ds:schemaRef ds:uri="http://schemas.microsoft.com/office/infopath/2007/PartnerControls"/>
  </ds:schemaRefs>
</ds:datastoreItem>
</file>

<file path=customXml/itemProps5.xml><?xml version="1.0" encoding="utf-8"?>
<ds:datastoreItem xmlns:ds="http://schemas.openxmlformats.org/officeDocument/2006/customXml" ds:itemID="{CF09418D-DAE2-436B-96E7-91D9A32E713E}">
  <ds:schemaRefs>
    <ds:schemaRef ds:uri="http://schemas.microsoft.com/office/2006/metadata/contentType"/>
    <ds:schemaRef ds:uri="http://schemas.microsoft.com/office/2006/metadata/properties/metaAttributes"/>
    <ds:schemaRef ds:uri="http://www.w3.org/2000/xmlns/"/>
    <ds:schemaRef ds:uri="http://www.w3.org/2001/XMLSchema"/>
    <ds:schemaRef ds:uri="25f84a50-7a4c-49d1-b917-f4aa6dcee46a"/>
  </ds:schemaRefs>
</ds:datastoreItem>
</file>

<file path=docMetadata/LabelInfo.xml><?xml version="1.0" encoding="utf-8"?>
<clbl:labelList xmlns:clbl="http://schemas.microsoft.com/office/2020/mipLabelMetadata">
  <clbl:label id="{d0cb1e24-a0e2-4a4c-9340-733297c9cd7c}" enabled="1" method="Privileged" siteId="{db1e96a8-a3da-442a-930b-235cac24cd5c}"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1561</Words>
  <Characters>8903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Howell</dc:creator>
  <cp:keywords/>
  <dc:description/>
  <cp:lastModifiedBy>Mahinaz  El-Baz</cp:lastModifiedBy>
  <cp:revision>2</cp:revision>
  <cp:lastPrinted>2021-08-30T07:15:00Z</cp:lastPrinted>
  <dcterms:created xsi:type="dcterms:W3CDTF">2023-07-06T09:47:00Z</dcterms:created>
  <dcterms:modified xsi:type="dcterms:W3CDTF">2023-07-06T09:47:00Z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0x010100D4616AE861D0664796931759A8118E36</vt:lpwstr>
  </property>
  <property fmtid="{D5CDD505-2E9C-101B-9397-08002B2CF9AE}" pid="3" name="SAEFSecurityClassification">
    <vt:lpwstr>1;#Restricted|21aa7f98-4035-4019-a764-107acb7269af</vt:lpwstr>
  </property>
  <property fmtid="{D5CDD505-2E9C-101B-9397-08002B2CF9AE}" pid="4" name="_dlc_DocIdItemGuid">
    <vt:lpwstr>7c1bbbb2-e080-4822-9812-500b1a307b96</vt:lpwstr>
  </property>
  <property fmtid="{D5CDD505-2E9C-101B-9397-08002B2CF9AE}" pid="5" name="Shell_x0020_SharePoint_x0020_SAEF_x0020_BusinessUnitRegionTaxHTField0">
    <vt:lpwstr/>
  </property>
  <property fmtid="{D5CDD505-2E9C-101B-9397-08002B2CF9AE}" pid="6" name="Shell_x0020_SharePoint_x0020_SAEF_x0020_BusinessProcessTaxHTField0">
    <vt:lpwstr/>
  </property>
  <property fmtid="{D5CDD505-2E9C-101B-9397-08002B2CF9AE}" pid="7" name="Shell_x0020_SharePoint_x0020_SAEF_x0020_ExportControlClassificationTaxHTField0">
    <vt:lpwstr/>
  </property>
  <property fmtid="{D5CDD505-2E9C-101B-9397-08002B2CF9AE}" pid="8" name="Shell_x0020_SharePoint_x0020_SAEF_x0020_BusinessUnitRegion">
    <vt:lpwstr/>
  </property>
  <property fmtid="{D5CDD505-2E9C-101B-9397-08002B2CF9AE}" pid="9" name="Shell_x0020_SharePoint_x0020_SAEF_x0020_Language">
    <vt:lpwstr/>
  </property>
  <property fmtid="{D5CDD505-2E9C-101B-9397-08002B2CF9AE}" pid="10" name="Shell_x0020_SharePoint_x0020_SAEF_x0020_BusinessTaxHTField0">
    <vt:lpwstr/>
  </property>
  <property fmtid="{D5CDD505-2E9C-101B-9397-08002B2CF9AE}" pid="11" name="Shell_x0020_SharePoint_x0020_SAEF_x0020_Business">
    <vt:lpwstr/>
  </property>
  <property fmtid="{D5CDD505-2E9C-101B-9397-08002B2CF9AE}" pid="12" name="Shell_x0020_SharePoint_x0020_SAEF_x0020_LegalEntity">
    <vt:lpwstr/>
  </property>
  <property fmtid="{D5CDD505-2E9C-101B-9397-08002B2CF9AE}" pid="13" name="Shell_x0020_SharePoint_x0020_SAEF_x0020_DocumentTypeTaxHTField0">
    <vt:lpwstr/>
  </property>
  <property fmtid="{D5CDD505-2E9C-101B-9397-08002B2CF9AE}" pid="14" name="Shell_x0020_SharePoint_x0020_SAEF_x0020_GlobalFunctionTaxHTField0">
    <vt:lpwstr/>
  </property>
  <property fmtid="{D5CDD505-2E9C-101B-9397-08002B2CF9AE}" pid="15" name="Shell_x0020_SharePoint_x0020_SAEF_x0020_LegalEntityTaxHTField0">
    <vt:lpwstr/>
  </property>
  <property fmtid="{D5CDD505-2E9C-101B-9397-08002B2CF9AE}" pid="16" name="Shell_x0020_SharePoint_x0020_SAEF_x0020_GlobalFunction">
    <vt:lpwstr/>
  </property>
  <property fmtid="{D5CDD505-2E9C-101B-9397-08002B2CF9AE}" pid="17" name="Shell_x0020_SharePoint_x0020_SAEF_x0020_DocumentType">
    <vt:lpwstr/>
  </property>
  <property fmtid="{D5CDD505-2E9C-101B-9397-08002B2CF9AE}" pid="18" name="Shell_x0020_SharePoint_x0020_SAEF_x0020_DocumentStatus">
    <vt:lpwstr/>
  </property>
  <property fmtid="{D5CDD505-2E9C-101B-9397-08002B2CF9AE}" pid="19" name="Shell_x0020_SharePoint_x0020_SAEF_x0020_DocumentStatusTaxHTField0">
    <vt:lpwstr/>
  </property>
  <property fmtid="{D5CDD505-2E9C-101B-9397-08002B2CF9AE}" pid="20" name="Shell_x0020_SharePoint_x0020_SAEF_x0020_ExportControlClassification">
    <vt:lpwstr/>
  </property>
  <property fmtid="{D5CDD505-2E9C-101B-9397-08002B2CF9AE}" pid="21" name="Shell_x0020_SharePoint_x0020_SAEF_x0020_CountryOfJurisdictionTaxHTField0">
    <vt:lpwstr/>
  </property>
  <property fmtid="{D5CDD505-2E9C-101B-9397-08002B2CF9AE}" pid="22" name="Shell_x0020_SharePoint_x0020_SAEF_x0020_CountryOfJurisdiction">
    <vt:lpwstr/>
  </property>
  <property fmtid="{D5CDD505-2E9C-101B-9397-08002B2CF9AE}" pid="23" name="Shell_x0020_SharePoint_x0020_SAEF_x0020_BusinessProcess">
    <vt:lpwstr/>
  </property>
  <property fmtid="{D5CDD505-2E9C-101B-9397-08002B2CF9AE}" pid="24" name="Shell_x0020_SharePoint_x0020_SAEF_x0020_LanguageTaxHTField0">
    <vt:lpwstr/>
  </property>
  <property fmtid="{D5CDD505-2E9C-101B-9397-08002B2CF9AE}" pid="25" name="Shell SharePoint SAEF DocumentTypeTaxHTField0">
    <vt:lpwstr/>
  </property>
  <property fmtid="{D5CDD505-2E9C-101B-9397-08002B2CF9AE}" pid="26" name="Shell SharePoint SAEF GlobalFunctionTaxHTField0">
    <vt:lpwstr/>
  </property>
  <property fmtid="{D5CDD505-2E9C-101B-9397-08002B2CF9AE}" pid="27" name="Shell SharePoint SAEF LegalEntity">
    <vt:lpwstr/>
  </property>
  <property fmtid="{D5CDD505-2E9C-101B-9397-08002B2CF9AE}" pid="28" name="Shell SharePoint SAEF CountryOfJurisdictionTaxHTField0">
    <vt:lpwstr/>
  </property>
  <property fmtid="{D5CDD505-2E9C-101B-9397-08002B2CF9AE}" pid="29" name="Shell SharePoint SAEF BusinessUnitRegionTaxHTField0">
    <vt:lpwstr/>
  </property>
  <property fmtid="{D5CDD505-2E9C-101B-9397-08002B2CF9AE}" pid="30" name="Shell SharePoint SAEF BusinessProcessTaxHTField0">
    <vt:lpwstr/>
  </property>
  <property fmtid="{D5CDD505-2E9C-101B-9397-08002B2CF9AE}" pid="31" name="Shell SharePoint SAEF BusinessTaxHTField0">
    <vt:lpwstr/>
  </property>
  <property fmtid="{D5CDD505-2E9C-101B-9397-08002B2CF9AE}" pid="32" name="Shell SharePoint SAEF DocumentStatus">
    <vt:lpwstr/>
  </property>
  <property fmtid="{D5CDD505-2E9C-101B-9397-08002B2CF9AE}" pid="33" name="Shell SharePoint SAEF Language">
    <vt:lpwstr/>
  </property>
  <property fmtid="{D5CDD505-2E9C-101B-9397-08002B2CF9AE}" pid="34" name="Shell SharePoint SAEF ExportControlClassificationTaxHTField0">
    <vt:lpwstr/>
  </property>
  <property fmtid="{D5CDD505-2E9C-101B-9397-08002B2CF9AE}" pid="35" name="Shell SharePoint SAEF Business">
    <vt:lpwstr/>
  </property>
  <property fmtid="{D5CDD505-2E9C-101B-9397-08002B2CF9AE}" pid="36" name="Shell SharePoint SAEF LegalEntityTaxHTField0">
    <vt:lpwstr/>
  </property>
  <property fmtid="{D5CDD505-2E9C-101B-9397-08002B2CF9AE}" pid="37" name="Shell SharePoint SAEF BusinessProcess">
    <vt:lpwstr/>
  </property>
  <property fmtid="{D5CDD505-2E9C-101B-9397-08002B2CF9AE}" pid="38" name="Shell SharePoint SAEF DocumentType">
    <vt:lpwstr/>
  </property>
  <property fmtid="{D5CDD505-2E9C-101B-9397-08002B2CF9AE}" pid="39" name="Shell SharePoint SAEF BusinessUnitRegion">
    <vt:lpwstr/>
  </property>
  <property fmtid="{D5CDD505-2E9C-101B-9397-08002B2CF9AE}" pid="40" name="Shell SharePoint SAEF GlobalFunction">
    <vt:lpwstr/>
  </property>
  <property fmtid="{D5CDD505-2E9C-101B-9397-08002B2CF9AE}" pid="41" name="Shell SharePoint SAEF LanguageTaxHTField0">
    <vt:lpwstr/>
  </property>
  <property fmtid="{D5CDD505-2E9C-101B-9397-08002B2CF9AE}" pid="42" name="Shell SharePoint SAEF CountryOfJurisdiction">
    <vt:lpwstr/>
  </property>
  <property fmtid="{D5CDD505-2E9C-101B-9397-08002B2CF9AE}" pid="43" name="Shell SharePoint SAEF DocumentStatusTaxHTField0">
    <vt:lpwstr/>
  </property>
  <property fmtid="{D5CDD505-2E9C-101B-9397-08002B2CF9AE}" pid="44" name="Shell SharePoint SAEF ExportControlClassification">
    <vt:lpwstr/>
  </property>
</Properties>
</file>